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16</w:t>
      </w:r>
      <w:r>
        <w:rPr>
          <w:rFonts w:ascii="Arial" w:hAnsi="Arial" w:eastAsia="等线" w:cs="Arial"/>
          <w:b/>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510037</w:t>
      </w:r>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bookmarkEnd w:id="0"/>
    <w:p w14:paraId="6DCE2007">
      <w:pPr>
        <w:tabs>
          <w:tab w:val="left" w:pos="1985"/>
        </w:tabs>
        <w:rPr>
          <w:b/>
          <w:sz w:val="22"/>
        </w:rPr>
      </w:pPr>
    </w:p>
    <w:p w14:paraId="23AD3A47">
      <w:pPr>
        <w:tabs>
          <w:tab w:val="left" w:pos="1765"/>
          <w:tab w:val="center" w:pos="4557"/>
        </w:tabs>
        <w:rPr>
          <w:rFonts w:hint="eastAsia" w:eastAsiaTheme="minorEastAsia"/>
          <w:b/>
          <w:sz w:val="22"/>
          <w:highlight w:val="none"/>
          <w:lang w:eastAsia="zh-CN"/>
        </w:rPr>
      </w:pPr>
      <w:r>
        <w:rPr>
          <w:b/>
          <w:sz w:val="22"/>
          <w:highlight w:val="none"/>
        </w:rPr>
        <w:t>Agenda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27</w:t>
      </w:r>
      <w:r>
        <w:rPr>
          <w:sz w:val="22"/>
          <w:highlight w:val="none"/>
        </w:rPr>
        <w:t>.</w:t>
      </w:r>
      <w:r>
        <w:rPr>
          <w:rFonts w:hint="eastAsia"/>
          <w:sz w:val="22"/>
          <w:highlight w:val="none"/>
          <w:lang w:val="en-US" w:eastAsia="zh-CN"/>
        </w:rPr>
        <w:t>6</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bookmarkEnd w:id="3"/>
      <w:r>
        <w:rPr>
          <w:rFonts w:hint="eastAsia"/>
          <w:sz w:val="22"/>
        </w:rPr>
        <w:t xml:space="preserve"> test cases for </w:t>
      </w:r>
      <w:r>
        <w:rPr>
          <w:rFonts w:hint="eastAsia"/>
          <w:sz w:val="22"/>
          <w:lang w:val="en-US" w:eastAsia="zh-CN"/>
        </w:rPr>
        <w:t>Rel-19</w:t>
      </w:r>
      <w:r>
        <w:rPr>
          <w:rFonts w:hint="eastAsia"/>
          <w:sz w:val="22"/>
        </w:rPr>
        <w:t xml:space="preserve"> NTN</w:t>
      </w:r>
      <w:r>
        <w:rPr>
          <w:rFonts w:hint="eastAsia"/>
          <w:sz w:val="22"/>
          <w:lang w:val="en-US" w:eastAsia="zh-CN"/>
        </w:rPr>
        <w:t xml:space="preserve"> Phase3</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DC2D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In last meeting, the discussion of performance part was started, and the WF has been agreed at[1]. </w:t>
      </w:r>
      <w:r>
        <w:rPr>
          <w:rFonts w:hint="eastAsia"/>
          <w:sz w:val="20"/>
          <w:szCs w:val="20"/>
        </w:rPr>
        <w:t xml:space="preserve">In this contribution, we will provide our views on the test </w:t>
      </w:r>
      <w:r>
        <w:rPr>
          <w:rFonts w:hint="eastAsia"/>
          <w:sz w:val="20"/>
          <w:szCs w:val="20"/>
          <w:lang w:val="en-US" w:eastAsia="zh-CN"/>
        </w:rPr>
        <w:t>case list</w:t>
      </w:r>
      <w:r>
        <w:rPr>
          <w:rFonts w:hint="eastAsia"/>
          <w:sz w:val="20"/>
          <w:szCs w:val="20"/>
        </w:rPr>
        <w:t xml:space="preserve"> for </w:t>
      </w:r>
      <w:r>
        <w:rPr>
          <w:rFonts w:hint="eastAsia"/>
          <w:sz w:val="20"/>
          <w:szCs w:val="20"/>
          <w:lang w:val="en-US" w:eastAsia="zh-CN"/>
        </w:rPr>
        <w:t>R19 NTN, including Redcap with NTN and DL CE feature</w:t>
      </w:r>
      <w:r>
        <w:rPr>
          <w:rFonts w:hint="eastAsia"/>
          <w:sz w:val="20"/>
          <w:szCs w:val="20"/>
        </w:rPr>
        <w:t xml:space="preserve">.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44C07469">
      <w:pPr>
        <w:pStyle w:val="5"/>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bCs/>
          <w:i/>
          <w:iCs/>
          <w:sz w:val="20"/>
          <w:szCs w:val="20"/>
          <w:u w:val="single"/>
          <w:lang w:eastAsia="zh-CN"/>
        </w:rPr>
      </w:pPr>
      <w:bookmarkStart w:id="9" w:name="_Hlk133265252"/>
      <w:r>
        <w:rPr>
          <w:rFonts w:hint="default" w:ascii="Times New Roman" w:hAnsi="Times New Roman" w:cs="Times New Roman"/>
          <w:b/>
          <w:bCs/>
          <w:i/>
          <w:iCs/>
          <w:sz w:val="20"/>
          <w:szCs w:val="20"/>
          <w:u w:val="single"/>
          <w:lang w:eastAsia="ko-KR"/>
        </w:rPr>
        <w:t>Issue 2-1-</w:t>
      </w:r>
      <w:r>
        <w:rPr>
          <w:rFonts w:hint="default" w:ascii="Times New Roman" w:hAnsi="Times New Roman" w:cs="Times New Roman"/>
          <w:b/>
          <w:bCs/>
          <w:i/>
          <w:iCs/>
          <w:sz w:val="20"/>
          <w:szCs w:val="20"/>
          <w:u w:val="single"/>
        </w:rPr>
        <w:t>2</w:t>
      </w:r>
      <w:r>
        <w:rPr>
          <w:rFonts w:hint="default" w:ascii="Times New Roman" w:hAnsi="Times New Roman" w:cs="Times New Roman"/>
          <w:b/>
          <w:bCs/>
          <w:i/>
          <w:iCs/>
          <w:sz w:val="20"/>
          <w:szCs w:val="20"/>
          <w:u w:val="single"/>
          <w:lang w:eastAsia="ko-KR"/>
        </w:rPr>
        <w:t xml:space="preserve">: </w:t>
      </w:r>
      <w:r>
        <w:rPr>
          <w:rFonts w:hint="default" w:ascii="Times New Roman" w:hAnsi="Times New Roman" w:cs="Times New Roman"/>
          <w:b/>
          <w:bCs/>
          <w:i/>
          <w:iCs/>
          <w:sz w:val="20"/>
          <w:szCs w:val="20"/>
          <w:u w:val="single"/>
        </w:rPr>
        <w:t>T</w:t>
      </w:r>
      <w:r>
        <w:rPr>
          <w:rFonts w:hint="default" w:ascii="Times New Roman" w:hAnsi="Times New Roman" w:cs="Times New Roman"/>
          <w:b/>
          <w:bCs/>
          <w:i/>
          <w:iCs/>
          <w:sz w:val="20"/>
          <w:szCs w:val="20"/>
          <w:u w:val="single"/>
          <w:lang w:eastAsia="ko-KR"/>
        </w:rPr>
        <w:t>est configuration</w:t>
      </w:r>
      <w:r>
        <w:rPr>
          <w:rFonts w:hint="default" w:ascii="Times New Roman" w:hAnsi="Times New Roman" w:cs="Times New Roman"/>
          <w:b/>
          <w:bCs/>
          <w:i/>
          <w:iCs/>
          <w:sz w:val="20"/>
          <w:szCs w:val="20"/>
          <w:u w:val="single"/>
        </w:rPr>
        <w:t xml:space="preserve"> and parameters for (e)RedCap UE with FR1-NTN</w:t>
      </w:r>
    </w:p>
    <w:p w14:paraId="6EC81142">
      <w:pPr>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default" w:ascii="Times New Roman" w:hAnsi="Times New Roman" w:cs="Times New Roman"/>
          <w:b/>
          <w:i/>
          <w:iCs/>
          <w:sz w:val="20"/>
          <w:szCs w:val="20"/>
          <w:lang w:eastAsia="zh-CN"/>
        </w:rPr>
        <w:t>:</w:t>
      </w:r>
    </w:p>
    <w:p w14:paraId="727C83B1">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Proposal 1 (CATT): </w:t>
      </w:r>
    </w:p>
    <w:p w14:paraId="7418D42F">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Both FDD and HD-FDD duplex mode should be considered in test configuration for (e)RedCap UE with FR1-NTN.</w:t>
      </w:r>
      <w:bookmarkStart w:id="13" w:name="_GoBack"/>
      <w:bookmarkEnd w:id="13"/>
    </w:p>
    <w:p w14:paraId="62474D97">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15 kHz SCS and 10MHz bandwidth can be configured in test cases.</w:t>
      </w:r>
    </w:p>
    <w:p w14:paraId="72598FF9">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Both GSO and NGSO are configured in test cases for RedCap UE with FR1-NTN.</w:t>
      </w:r>
    </w:p>
    <w:p w14:paraId="2B8E8D99">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Proposal 1a (ZTE): RAN4 shall consider the following general test configurations as follows:</w:t>
      </w:r>
    </w:p>
    <w:tbl>
      <w:tblPr>
        <w:tblStyle w:val="10"/>
        <w:tblW w:w="7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6110"/>
      </w:tblGrid>
      <w:tr w14:paraId="2EAA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14:paraId="49ADADB1">
            <w:pPr>
              <w:keepNext/>
              <w:keepLines w:val="0"/>
              <w:pageBreakBefore w:val="0"/>
              <w:widowControl/>
              <w:kinsoku/>
              <w:wordWrap/>
              <w:overflowPunct w:val="0"/>
              <w:topLinePunct w:val="0"/>
              <w:autoSpaceDE w:val="0"/>
              <w:autoSpaceDN w:val="0"/>
              <w:bidi w:val="0"/>
              <w:adjustRightInd w:val="0"/>
              <w:snapToGrid/>
              <w:spacing w:before="60" w:after="60" w:line="240" w:lineRule="auto"/>
              <w:jc w:val="center"/>
              <w:textAlignment w:val="auto"/>
              <w:rPr>
                <w:rFonts w:hint="default" w:ascii="Times New Roman" w:hAnsi="Times New Roman" w:eastAsia="Times New Roman" w:cs="Times New Roman"/>
                <w:b w:val="0"/>
                <w:bCs w:val="0"/>
                <w:i/>
                <w:iCs/>
                <w:sz w:val="20"/>
                <w:szCs w:val="20"/>
                <w:lang w:eastAsia="zh-TW"/>
              </w:rPr>
            </w:pPr>
            <w:r>
              <w:rPr>
                <w:rFonts w:hint="default" w:ascii="Times New Roman" w:hAnsi="Times New Roman" w:eastAsia="Times New Roman" w:cs="Times New Roman"/>
                <w:b w:val="0"/>
                <w:bCs w:val="0"/>
                <w:i/>
                <w:iCs/>
                <w:sz w:val="20"/>
                <w:szCs w:val="20"/>
                <w:lang w:eastAsia="zh-TW" w:bidi="ar"/>
              </w:rPr>
              <w:t>Configuration</w:t>
            </w:r>
          </w:p>
        </w:tc>
        <w:tc>
          <w:tcPr>
            <w:tcW w:w="6110" w:type="dxa"/>
            <w:tcBorders>
              <w:top w:val="single" w:color="auto" w:sz="4" w:space="0"/>
              <w:left w:val="single" w:color="auto" w:sz="4" w:space="0"/>
              <w:bottom w:val="single" w:color="auto" w:sz="4" w:space="0"/>
              <w:right w:val="single" w:color="auto" w:sz="4" w:space="0"/>
            </w:tcBorders>
            <w:shd w:val="clear" w:color="auto" w:fill="auto"/>
          </w:tcPr>
          <w:p w14:paraId="39051B71">
            <w:pPr>
              <w:keepNext/>
              <w:keepLines w:val="0"/>
              <w:pageBreakBefore w:val="0"/>
              <w:widowControl/>
              <w:kinsoku/>
              <w:wordWrap/>
              <w:overflowPunct w:val="0"/>
              <w:topLinePunct w:val="0"/>
              <w:autoSpaceDE w:val="0"/>
              <w:autoSpaceDN w:val="0"/>
              <w:bidi w:val="0"/>
              <w:adjustRightInd w:val="0"/>
              <w:snapToGrid/>
              <w:spacing w:before="60" w:after="60" w:line="240" w:lineRule="auto"/>
              <w:jc w:val="center"/>
              <w:textAlignment w:val="auto"/>
              <w:rPr>
                <w:rFonts w:hint="default" w:ascii="Times New Roman" w:hAnsi="Times New Roman" w:eastAsia="Times New Roman" w:cs="Times New Roman"/>
                <w:b w:val="0"/>
                <w:bCs w:val="0"/>
                <w:i/>
                <w:iCs/>
                <w:sz w:val="20"/>
                <w:szCs w:val="20"/>
                <w:lang w:eastAsia="zh-TW"/>
              </w:rPr>
            </w:pPr>
            <w:r>
              <w:rPr>
                <w:rFonts w:hint="default" w:ascii="Times New Roman" w:hAnsi="Times New Roman" w:eastAsia="Times New Roman" w:cs="Times New Roman"/>
                <w:b w:val="0"/>
                <w:bCs w:val="0"/>
                <w:i/>
                <w:iCs/>
                <w:sz w:val="20"/>
                <w:szCs w:val="20"/>
                <w:lang w:eastAsia="zh-TW" w:bidi="ar"/>
              </w:rPr>
              <w:t>Description</w:t>
            </w:r>
          </w:p>
        </w:tc>
      </w:tr>
      <w:tr w14:paraId="0739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14:paraId="2829E435">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eastAsia="zh-TW"/>
              </w:rPr>
            </w:pPr>
            <w:r>
              <w:rPr>
                <w:rFonts w:hint="default" w:ascii="Times New Roman" w:hAnsi="Times New Roman" w:eastAsia="Times New Roman" w:cs="Times New Roman"/>
                <w:b w:val="0"/>
                <w:bCs w:val="0"/>
                <w:i/>
                <w:iCs/>
                <w:sz w:val="20"/>
                <w:szCs w:val="20"/>
                <w:lang w:eastAsia="zh-TW" w:bidi="ar"/>
              </w:rPr>
              <w:t>1</w:t>
            </w:r>
          </w:p>
        </w:tc>
        <w:tc>
          <w:tcPr>
            <w:tcW w:w="6110" w:type="dxa"/>
            <w:tcBorders>
              <w:top w:val="single" w:color="auto" w:sz="4" w:space="0"/>
              <w:left w:val="single" w:color="auto" w:sz="4" w:space="0"/>
              <w:bottom w:val="single" w:color="auto" w:sz="4" w:space="0"/>
              <w:right w:val="single" w:color="auto" w:sz="4" w:space="0"/>
            </w:tcBorders>
            <w:shd w:val="clear" w:color="auto" w:fill="auto"/>
          </w:tcPr>
          <w:p w14:paraId="25CC9840">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eastAsia="zh-TW"/>
              </w:rPr>
            </w:pPr>
            <w:r>
              <w:rPr>
                <w:rFonts w:hint="default" w:ascii="Times New Roman" w:hAnsi="Times New Roman" w:eastAsia="Times New Roman" w:cs="Times New Roman"/>
                <w:b w:val="0"/>
                <w:bCs w:val="0"/>
                <w:i/>
                <w:iCs/>
                <w:sz w:val="20"/>
                <w:szCs w:val="20"/>
                <w:lang w:bidi="ar"/>
              </w:rPr>
              <w:t xml:space="preserve">GSO, NR </w:t>
            </w:r>
            <w:r>
              <w:rPr>
                <w:rFonts w:hint="default" w:ascii="Times New Roman" w:hAnsi="Times New Roman" w:eastAsia="Times New Roman" w:cs="Times New Roman"/>
                <w:b w:val="0"/>
                <w:bCs w:val="0"/>
                <w:i/>
                <w:iCs/>
                <w:sz w:val="20"/>
                <w:szCs w:val="20"/>
                <w:lang w:eastAsia="zh-TW" w:bidi="ar"/>
              </w:rPr>
              <w:t>FDD, SSB SCS 15 kHz, data SCS 15 kHz, BW 10 MHz</w:t>
            </w:r>
          </w:p>
        </w:tc>
      </w:tr>
      <w:tr w14:paraId="6548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14:paraId="77140324">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rPr>
            </w:pPr>
            <w:r>
              <w:rPr>
                <w:rFonts w:hint="default" w:ascii="Times New Roman" w:hAnsi="Times New Roman" w:eastAsia="Times New Roman" w:cs="Times New Roman"/>
                <w:b w:val="0"/>
                <w:bCs w:val="0"/>
                <w:i/>
                <w:iCs/>
                <w:sz w:val="20"/>
                <w:szCs w:val="20"/>
                <w:lang w:bidi="ar"/>
              </w:rPr>
              <w:t>2</w:t>
            </w:r>
          </w:p>
        </w:tc>
        <w:tc>
          <w:tcPr>
            <w:tcW w:w="6110" w:type="dxa"/>
            <w:tcBorders>
              <w:top w:val="single" w:color="auto" w:sz="4" w:space="0"/>
              <w:left w:val="single" w:color="auto" w:sz="4" w:space="0"/>
              <w:bottom w:val="single" w:color="auto" w:sz="4" w:space="0"/>
              <w:right w:val="single" w:color="auto" w:sz="4" w:space="0"/>
            </w:tcBorders>
            <w:shd w:val="clear" w:color="auto" w:fill="auto"/>
          </w:tcPr>
          <w:p w14:paraId="31431695">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rPr>
            </w:pPr>
            <w:r>
              <w:rPr>
                <w:rFonts w:hint="default" w:ascii="Times New Roman" w:hAnsi="Times New Roman" w:eastAsia="Times New Roman" w:cs="Times New Roman"/>
                <w:b w:val="0"/>
                <w:bCs w:val="0"/>
                <w:i/>
                <w:iCs/>
                <w:sz w:val="20"/>
                <w:szCs w:val="20"/>
                <w:lang w:bidi="ar"/>
              </w:rPr>
              <w:t xml:space="preserve">NGSO, NR </w:t>
            </w:r>
            <w:r>
              <w:rPr>
                <w:rFonts w:hint="default" w:ascii="Times New Roman" w:hAnsi="Times New Roman" w:eastAsia="Times New Roman" w:cs="Times New Roman"/>
                <w:b w:val="0"/>
                <w:bCs w:val="0"/>
                <w:i/>
                <w:iCs/>
                <w:sz w:val="20"/>
                <w:szCs w:val="20"/>
                <w:lang w:eastAsia="zh-TW" w:bidi="ar"/>
              </w:rPr>
              <w:t>FDD, SSB SCS 15 kHz, data SCS 15 kHz, BW 10 MHz</w:t>
            </w:r>
          </w:p>
        </w:tc>
      </w:tr>
      <w:tr w14:paraId="406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14:paraId="2940A1AA">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bidi="ar"/>
              </w:rPr>
            </w:pPr>
            <w:r>
              <w:rPr>
                <w:rFonts w:hint="default" w:ascii="Times New Roman" w:hAnsi="Times New Roman" w:eastAsia="Times New Roman" w:cs="Times New Roman"/>
                <w:b w:val="0"/>
                <w:bCs w:val="0"/>
                <w:i/>
                <w:iCs/>
                <w:sz w:val="20"/>
                <w:szCs w:val="20"/>
                <w:lang w:bidi="ar"/>
              </w:rPr>
              <w:t>3</w:t>
            </w:r>
          </w:p>
        </w:tc>
        <w:tc>
          <w:tcPr>
            <w:tcW w:w="6110" w:type="dxa"/>
            <w:tcBorders>
              <w:top w:val="single" w:color="auto" w:sz="4" w:space="0"/>
              <w:left w:val="single" w:color="auto" w:sz="4" w:space="0"/>
              <w:bottom w:val="single" w:color="auto" w:sz="4" w:space="0"/>
              <w:right w:val="single" w:color="auto" w:sz="4" w:space="0"/>
            </w:tcBorders>
            <w:shd w:val="clear" w:color="auto" w:fill="auto"/>
          </w:tcPr>
          <w:p w14:paraId="478B2316">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bidi="ar"/>
              </w:rPr>
            </w:pPr>
            <w:r>
              <w:rPr>
                <w:rFonts w:hint="default" w:ascii="Times New Roman" w:hAnsi="Times New Roman" w:eastAsia="Times New Roman" w:cs="Times New Roman"/>
                <w:b w:val="0"/>
                <w:bCs w:val="0"/>
                <w:i/>
                <w:iCs/>
                <w:sz w:val="20"/>
                <w:szCs w:val="20"/>
                <w:lang w:bidi="ar"/>
              </w:rPr>
              <w:t>GSO, NR HD-</w:t>
            </w:r>
            <w:r>
              <w:rPr>
                <w:rFonts w:hint="default" w:ascii="Times New Roman" w:hAnsi="Times New Roman" w:eastAsia="Times New Roman" w:cs="Times New Roman"/>
                <w:b w:val="0"/>
                <w:bCs w:val="0"/>
                <w:i/>
                <w:iCs/>
                <w:sz w:val="20"/>
                <w:szCs w:val="20"/>
                <w:lang w:eastAsia="zh-TW" w:bidi="ar"/>
              </w:rPr>
              <w:t>FDD, SSB SCS 15 kHz, data SCS 15 kHz, BW 10 MHz</w:t>
            </w:r>
          </w:p>
        </w:tc>
      </w:tr>
      <w:tr w14:paraId="5F13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14:paraId="6760F353">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bidi="ar"/>
              </w:rPr>
            </w:pPr>
            <w:r>
              <w:rPr>
                <w:rFonts w:hint="default" w:ascii="Times New Roman" w:hAnsi="Times New Roman" w:eastAsia="Times New Roman" w:cs="Times New Roman"/>
                <w:b w:val="0"/>
                <w:bCs w:val="0"/>
                <w:i/>
                <w:iCs/>
                <w:sz w:val="20"/>
                <w:szCs w:val="20"/>
                <w:lang w:bidi="ar"/>
              </w:rPr>
              <w:t>4</w:t>
            </w:r>
          </w:p>
        </w:tc>
        <w:tc>
          <w:tcPr>
            <w:tcW w:w="6110" w:type="dxa"/>
            <w:tcBorders>
              <w:top w:val="single" w:color="auto" w:sz="4" w:space="0"/>
              <w:left w:val="single" w:color="auto" w:sz="4" w:space="0"/>
              <w:bottom w:val="single" w:color="auto" w:sz="4" w:space="0"/>
              <w:right w:val="single" w:color="auto" w:sz="4" w:space="0"/>
            </w:tcBorders>
            <w:shd w:val="clear" w:color="auto" w:fill="auto"/>
          </w:tcPr>
          <w:p w14:paraId="33735682">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bidi="ar"/>
              </w:rPr>
            </w:pPr>
            <w:r>
              <w:rPr>
                <w:rFonts w:hint="default" w:ascii="Times New Roman" w:hAnsi="Times New Roman" w:eastAsia="Times New Roman" w:cs="Times New Roman"/>
                <w:b w:val="0"/>
                <w:bCs w:val="0"/>
                <w:i/>
                <w:iCs/>
                <w:sz w:val="20"/>
                <w:szCs w:val="20"/>
                <w:lang w:bidi="ar"/>
              </w:rPr>
              <w:t>NGSO, NR HD-FDD, SSB SCS 15 kHz, data SCS 15 kHz, BW 10 MHz</w:t>
            </w:r>
          </w:p>
        </w:tc>
      </w:tr>
      <w:tr w14:paraId="2D4A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28" w:type="dxa"/>
            <w:gridSpan w:val="2"/>
            <w:tcBorders>
              <w:top w:val="single" w:color="auto" w:sz="4" w:space="0"/>
              <w:left w:val="single" w:color="auto" w:sz="4" w:space="0"/>
              <w:bottom w:val="single" w:color="auto" w:sz="4" w:space="0"/>
              <w:right w:val="single" w:color="auto" w:sz="4" w:space="0"/>
            </w:tcBorders>
            <w:shd w:val="clear" w:color="auto" w:fill="auto"/>
          </w:tcPr>
          <w:p w14:paraId="4B1E5A8D">
            <w:pPr>
              <w:keepLines w:val="0"/>
              <w:pageBreakBefore w:val="0"/>
              <w:widowControl/>
              <w:kinsoku/>
              <w:wordWrap/>
              <w:overflowPunct w:val="0"/>
              <w:topLinePunct w:val="0"/>
              <w:autoSpaceDE w:val="0"/>
              <w:autoSpaceDN w:val="0"/>
              <w:bidi w:val="0"/>
              <w:adjustRightInd w:val="0"/>
              <w:snapToGrid/>
              <w:spacing w:before="60" w:after="60" w:line="240" w:lineRule="auto"/>
              <w:textAlignment w:val="auto"/>
              <w:rPr>
                <w:rFonts w:hint="default" w:ascii="Times New Roman" w:hAnsi="Times New Roman" w:eastAsia="Times New Roman" w:cs="Times New Roman"/>
                <w:b w:val="0"/>
                <w:bCs w:val="0"/>
                <w:i/>
                <w:iCs/>
                <w:sz w:val="20"/>
                <w:szCs w:val="20"/>
                <w:lang w:bidi="ar"/>
              </w:rPr>
            </w:pPr>
            <w:r>
              <w:rPr>
                <w:rFonts w:hint="default" w:ascii="Times New Roman" w:hAnsi="Times New Roman" w:eastAsia="Times New Roman" w:cs="Times New Roman"/>
                <w:b w:val="0"/>
                <w:bCs w:val="0"/>
                <w:i/>
                <w:iCs/>
                <w:sz w:val="20"/>
                <w:szCs w:val="20"/>
                <w:lang w:eastAsia="zh-TW" w:bidi="ar"/>
              </w:rPr>
              <w:t>NOTE:</w:t>
            </w:r>
            <w:r>
              <w:rPr>
                <w:rFonts w:hint="default" w:ascii="Times New Roman" w:hAnsi="Times New Roman" w:eastAsia="Times New Roman" w:cs="Times New Roman"/>
                <w:b w:val="0"/>
                <w:bCs w:val="0"/>
                <w:i/>
                <w:iCs/>
                <w:sz w:val="20"/>
                <w:szCs w:val="20"/>
                <w:lang w:eastAsia="ko" w:bidi="ar"/>
              </w:rPr>
              <w:tab/>
            </w:r>
            <w:r>
              <w:rPr>
                <w:rFonts w:hint="default" w:ascii="Times New Roman" w:hAnsi="Times New Roman" w:eastAsia="Times New Roman" w:cs="Times New Roman"/>
                <w:b w:val="0"/>
                <w:bCs w:val="0"/>
                <w:i/>
                <w:iCs/>
                <w:sz w:val="20"/>
                <w:szCs w:val="20"/>
                <w:lang w:eastAsia="zh-TW" w:bidi="ar"/>
              </w:rPr>
              <w:t xml:space="preserve">The UE is only required to </w:t>
            </w:r>
            <w:r>
              <w:rPr>
                <w:rFonts w:hint="default" w:ascii="Times New Roman" w:hAnsi="Times New Roman" w:eastAsia="Times New Roman" w:cs="Times New Roman"/>
                <w:b w:val="0"/>
                <w:bCs w:val="0"/>
                <w:i/>
                <w:iCs/>
                <w:sz w:val="20"/>
                <w:szCs w:val="20"/>
                <w:lang w:bidi="ar"/>
              </w:rPr>
              <w:t>be tested</w:t>
            </w:r>
            <w:r>
              <w:rPr>
                <w:rFonts w:hint="default" w:ascii="Times New Roman" w:hAnsi="Times New Roman" w:eastAsia="Times New Roman" w:cs="Times New Roman"/>
                <w:b w:val="0"/>
                <w:bCs w:val="0"/>
                <w:i/>
                <w:iCs/>
                <w:sz w:val="20"/>
                <w:szCs w:val="20"/>
                <w:lang w:eastAsia="zh-TW" w:bidi="ar"/>
              </w:rPr>
              <w:t xml:space="preserve"> in one of the supported test configurations</w:t>
            </w:r>
          </w:p>
        </w:tc>
      </w:tr>
    </w:tbl>
    <w:p w14:paraId="307CA535">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Proposal 2 (HW): Adapt the test case for reduced BW, e.g. test configuration, some RMC and Io values</w:t>
      </w:r>
    </w:p>
    <w:p w14:paraId="6A6875B1">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Proposal 3 (CMCC): Take the NTN test setups as the reference, and use the ‘refer to’ method when drafting the spec to avoid duplicated contents.</w:t>
      </w:r>
    </w:p>
    <w:p w14:paraId="78DD2310">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Proposal 4 (ZTE): RAN4 only clarify the procedure and parameters which can be reused from NTN, and then define new parameters applicable to RedCap UEs.</w:t>
      </w:r>
    </w:p>
    <w:p w14:paraId="0FBE19AE">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the test configurations, we think most of the NTN test setups can be taken as the reference, except both FDD and HD-FDD shall be tested for (e)RedCap UE.</w:t>
      </w:r>
    </w:p>
    <w:p w14:paraId="183FC49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1: Take the NTN test setups as the reference, except both FDD and HD-FDD shall be involved in test configuration.</w:t>
      </w:r>
    </w:p>
    <w:p w14:paraId="445DFF94">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p>
    <w:p w14:paraId="16A3B4C6">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1-3</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H</w:t>
      </w:r>
      <w:r>
        <w:rPr>
          <w:rFonts w:hint="default" w:ascii="Times New Roman" w:hAnsi="Times New Roman" w:cs="Times New Roman"/>
          <w:b/>
          <w:bCs/>
          <w:i/>
          <w:iCs/>
          <w:sz w:val="20"/>
          <w:szCs w:val="20"/>
          <w:u w:val="single"/>
          <w:lang w:eastAsia="ko-KR"/>
        </w:rPr>
        <w:t>ow and where to capture</w:t>
      </w:r>
      <w:r>
        <w:rPr>
          <w:rFonts w:hint="eastAsia" w:ascii="Times New Roman" w:hAnsi="Times New Roman" w:cs="Times New Roman"/>
          <w:b/>
          <w:bCs/>
          <w:i/>
          <w:iCs/>
          <w:sz w:val="20"/>
          <w:szCs w:val="20"/>
          <w:u w:val="single"/>
          <w:lang w:eastAsia="ko-KR"/>
        </w:rPr>
        <w:t xml:space="preserve"> the test cases </w:t>
      </w:r>
      <w:r>
        <w:rPr>
          <w:rFonts w:hint="default" w:ascii="Times New Roman" w:hAnsi="Times New Roman" w:cs="Times New Roman"/>
          <w:b/>
          <w:bCs/>
          <w:i/>
          <w:iCs/>
          <w:sz w:val="20"/>
          <w:szCs w:val="20"/>
          <w:u w:val="single"/>
          <w:lang w:eastAsia="ko-KR"/>
        </w:rPr>
        <w:t>for 1Rx and 2Rx (e)RedCap UE with NTN</w:t>
      </w:r>
    </w:p>
    <w:p w14:paraId="69C8B4AD">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rPr>
        <w:t>&lt;Way Forward&gt;</w:t>
      </w:r>
      <w:r>
        <w:rPr>
          <w:rFonts w:hint="eastAsia" w:ascii="Times New Roman" w:hAnsi="Times New Roman" w:cs="Times New Roman"/>
          <w:b/>
          <w:i/>
          <w:iCs/>
          <w:sz w:val="20"/>
          <w:szCs w:val="20"/>
          <w:lang w:eastAsia="zh-CN"/>
        </w:rPr>
        <w:t>:</w:t>
      </w:r>
    </w:p>
    <w:p w14:paraId="746D6839">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bCs/>
          <w:i/>
          <w:iCs/>
          <w:sz w:val="20"/>
          <w:szCs w:val="20"/>
        </w:rPr>
      </w:pPr>
      <w:r>
        <w:rPr>
          <w:rFonts w:hint="eastAsia"/>
          <w:bCs/>
          <w:i/>
          <w:iCs/>
          <w:sz w:val="20"/>
          <w:szCs w:val="20"/>
        </w:rPr>
        <w:t>Proposal 1(ZTE): The existing NTN test cases can be used as a baseline for RedCap UEs in NTN scenario.</w:t>
      </w:r>
    </w:p>
    <w:p w14:paraId="68B2A984">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eastAsiaTheme="minorEastAsia"/>
          <w:i/>
          <w:iCs/>
          <w:sz w:val="20"/>
          <w:szCs w:val="20"/>
        </w:rPr>
      </w:pPr>
      <w:r>
        <w:rPr>
          <w:rFonts w:eastAsiaTheme="minorEastAsia"/>
          <w:i/>
          <w:iCs/>
          <w:sz w:val="20"/>
          <w:szCs w:val="20"/>
        </w:rPr>
        <w:t xml:space="preserve">Proposal </w:t>
      </w:r>
      <w:r>
        <w:rPr>
          <w:rFonts w:hint="eastAsia" w:eastAsiaTheme="minorEastAsia"/>
          <w:i/>
          <w:iCs/>
          <w:sz w:val="20"/>
          <w:szCs w:val="20"/>
        </w:rPr>
        <w:t>1a (HW)</w:t>
      </w:r>
      <w:r>
        <w:rPr>
          <w:rFonts w:eastAsiaTheme="minorEastAsia"/>
          <w:i/>
          <w:iCs/>
          <w:sz w:val="20"/>
          <w:szCs w:val="20"/>
        </w:rPr>
        <w:t>: Re-use existing test cases for NTN in A.14 for RedCap in NTN</w:t>
      </w:r>
    </w:p>
    <w:p w14:paraId="15464034">
      <w:pPr>
        <w:pStyle w:val="14"/>
        <w:keepNext w:val="0"/>
        <w:keepLines w:val="0"/>
        <w:pageBreakBefore w:val="0"/>
        <w:widowControl/>
        <w:numPr>
          <w:ilvl w:val="2"/>
          <w:numId w:val="3"/>
        </w:numPr>
        <w:kinsoku/>
        <w:wordWrap/>
        <w:overflowPunct/>
        <w:topLinePunct w:val="0"/>
        <w:autoSpaceDE/>
        <w:autoSpaceDN/>
        <w:bidi w:val="0"/>
        <w:adjustRightInd/>
        <w:snapToGrid/>
        <w:spacing w:before="60" w:after="60"/>
        <w:ind w:left="1260" w:leftChars="0" w:hanging="420" w:firstLineChars="0"/>
        <w:textAlignment w:val="auto"/>
        <w:rPr>
          <w:rFonts w:eastAsiaTheme="minorEastAsia"/>
          <w:i/>
          <w:iCs/>
          <w:sz w:val="20"/>
          <w:szCs w:val="20"/>
        </w:rPr>
      </w:pPr>
      <w:r>
        <w:rPr>
          <w:rFonts w:eastAsiaTheme="minorEastAsia"/>
          <w:i/>
          <w:iCs/>
          <w:sz w:val="20"/>
          <w:szCs w:val="20"/>
        </w:rPr>
        <w:t>Adapt the test case for reduced BW, e.g. test configuration, some RMC and Io values</w:t>
      </w:r>
    </w:p>
    <w:p w14:paraId="3A01E1F5">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bCs/>
          <w:i/>
          <w:iCs/>
          <w:sz w:val="20"/>
          <w:szCs w:val="20"/>
        </w:rPr>
      </w:pPr>
      <w:r>
        <w:rPr>
          <w:rFonts w:hint="eastAsia"/>
          <w:bCs/>
          <w:i/>
          <w:iCs/>
          <w:sz w:val="20"/>
          <w:szCs w:val="20"/>
        </w:rPr>
        <w:t>Proposal 2 (ZTE): For RedCap UEs in NTN scenario, some new test cases will be added in the existing NTN test cases, which will also be defined in Clause A.14.</w:t>
      </w:r>
    </w:p>
    <w:p w14:paraId="4172D669">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About where, since we have a new suffix for RedCap over NTN core requirements, we prefer to set a new Clause for perf requirement correspondingly.</w:t>
      </w:r>
    </w:p>
    <w:p w14:paraId="662E2851">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About how, the </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refer to</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 xml:space="preserve"> method shall be used in order to avoid huge duplicated contents in the spec.</w:t>
      </w:r>
    </w:p>
    <w:p w14:paraId="4338973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 xml:space="preserve">Proposal 2: Prefer to set a new Clause for perf requirement, and use the </w:t>
      </w:r>
      <w:r>
        <w:rPr>
          <w:rFonts w:hint="default"/>
          <w:b/>
          <w:i/>
          <w:iCs/>
          <w:sz w:val="20"/>
          <w:szCs w:val="20"/>
          <w:lang w:val="en-US" w:eastAsia="zh-CN"/>
        </w:rPr>
        <w:t>‘</w:t>
      </w:r>
      <w:r>
        <w:rPr>
          <w:rFonts w:hint="eastAsia"/>
          <w:b/>
          <w:i/>
          <w:iCs/>
          <w:sz w:val="20"/>
          <w:szCs w:val="20"/>
          <w:lang w:val="en-US" w:eastAsia="zh-CN"/>
        </w:rPr>
        <w:t>refer to</w:t>
      </w:r>
      <w:r>
        <w:rPr>
          <w:rFonts w:hint="default"/>
          <w:b/>
          <w:i/>
          <w:iCs/>
          <w:sz w:val="20"/>
          <w:szCs w:val="20"/>
          <w:lang w:val="en-US" w:eastAsia="zh-CN"/>
        </w:rPr>
        <w:t>’</w:t>
      </w:r>
      <w:r>
        <w:rPr>
          <w:rFonts w:hint="eastAsia"/>
          <w:b/>
          <w:i/>
          <w:iCs/>
          <w:sz w:val="20"/>
          <w:szCs w:val="20"/>
          <w:lang w:val="en-US" w:eastAsia="zh-CN"/>
        </w:rPr>
        <w:t xml:space="preserve"> method when drafting the spec to avoid duplicated contents.</w:t>
      </w:r>
    </w:p>
    <w:p w14:paraId="15EC2B41">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p>
    <w:p w14:paraId="32991912">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lang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1-4-1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W</w:t>
      </w:r>
      <w:r>
        <w:rPr>
          <w:rFonts w:hint="default" w:ascii="Times New Roman" w:hAnsi="Times New Roman" w:cs="Times New Roman"/>
          <w:b/>
          <w:bCs/>
          <w:i/>
          <w:iCs/>
          <w:sz w:val="20"/>
          <w:szCs w:val="20"/>
          <w:u w:val="single"/>
          <w:lang w:eastAsia="ko-KR"/>
        </w:rPr>
        <w:t>hether to define separate test cases for 1Rx and 2Rx (e)RedCap UE with NTN</w:t>
      </w:r>
    </w:p>
    <w:p w14:paraId="3A98176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i/>
          <w:iCs/>
          <w:sz w:val="20"/>
          <w:szCs w:val="20"/>
        </w:rPr>
      </w:pPr>
      <w:r>
        <w:rPr>
          <w:rFonts w:hint="default" w:ascii="Times New Roman" w:hAnsi="Times New Roman" w:cs="Times New Roman"/>
          <w:b/>
          <w:i/>
          <w:iCs/>
          <w:sz w:val="20"/>
          <w:szCs w:val="20"/>
        </w:rPr>
        <w:t>&lt;Way Forward&gt;</w:t>
      </w:r>
      <w:r>
        <w:rPr>
          <w:rFonts w:hint="eastAsia" w:ascii="Times New Roman" w:hAnsi="Times New Roman" w:cs="Times New Roman"/>
          <w:b/>
          <w:i/>
          <w:iCs/>
          <w:sz w:val="20"/>
          <w:szCs w:val="20"/>
        </w:rPr>
        <w:t>:</w:t>
      </w:r>
    </w:p>
    <w:p w14:paraId="0CCC20C8">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eastAsia"/>
          <w:bCs/>
          <w:i/>
          <w:iCs/>
          <w:sz w:val="20"/>
          <w:szCs w:val="20"/>
        </w:rPr>
      </w:pPr>
      <w:r>
        <w:rPr>
          <w:rFonts w:hint="eastAsia"/>
          <w:bCs/>
          <w:i/>
          <w:iCs/>
          <w:sz w:val="20"/>
          <w:szCs w:val="20"/>
        </w:rPr>
        <w:t>Proposal 1 (CATT, CMCC): RAN4 to define the separate test cases for 1Rx and 2Rx (e)RedCap UE with NTN.</w:t>
      </w:r>
    </w:p>
    <w:p w14:paraId="61CECFBB">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eastAsia"/>
          <w:bCs/>
          <w:i/>
          <w:iCs/>
          <w:sz w:val="20"/>
          <w:szCs w:val="20"/>
        </w:rPr>
      </w:pPr>
      <w:r>
        <w:rPr>
          <w:rFonts w:hint="eastAsia"/>
          <w:bCs/>
          <w:i/>
          <w:iCs/>
          <w:sz w:val="20"/>
          <w:szCs w:val="20"/>
        </w:rPr>
        <w:t>Proposal 2 (HW): Further discuss whether to define separate test cases for 1Rx and 2Rx RedCap UEs</w:t>
      </w:r>
    </w:p>
    <w:p w14:paraId="533347AE">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eastAsia"/>
          <w:bCs/>
          <w:i/>
          <w:iCs/>
          <w:sz w:val="20"/>
          <w:szCs w:val="20"/>
        </w:rPr>
      </w:pPr>
      <w:r>
        <w:rPr>
          <w:rFonts w:hint="eastAsia"/>
          <w:bCs/>
          <w:i/>
          <w:iCs/>
          <w:sz w:val="20"/>
          <w:szCs w:val="20"/>
        </w:rPr>
        <w:t>Proposal 3 (ZTE): Discuss case by case.</w:t>
      </w:r>
    </w:p>
    <w:p w14:paraId="73E82C4B">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In legacy test cases for RedCap UE, separate test cases are defined for 1Rx and 2Rx (e)RedCap UE, due to some test setups and test requirements may different, but a lot of duplication exists in the spec. However, if the </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refer to NTN clause</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 xml:space="preserve"> method will be used, then most of duplication can be avoided. Therefore, we prefer to use same logic as legacy, that define the separate test cases for 1Rx and 2Rx.</w:t>
      </w:r>
    </w:p>
    <w:p w14:paraId="3DB5DAF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Proposal 3: Define the separate test cases for 1Rx and 2Rx (e)RedCap UE with NTN.</w:t>
      </w:r>
    </w:p>
    <w:p w14:paraId="413B4AC6">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p>
    <w:p w14:paraId="2ED04691">
      <w:pPr>
        <w:pStyle w:val="5"/>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cs="Times New Roman"/>
          <w:b/>
          <w:bCs/>
          <w:i/>
          <w:iCs/>
          <w:sz w:val="20"/>
          <w:szCs w:val="20"/>
          <w:u w:val="single"/>
          <w:lang w:val="en-US" w:eastAsia="zh-CN"/>
        </w:rPr>
      </w:pPr>
      <w:r>
        <w:rPr>
          <w:rFonts w:hint="default" w:ascii="Times New Roman" w:hAnsi="Times New Roman" w:cs="Times New Roman"/>
          <w:b/>
          <w:bCs/>
          <w:i/>
          <w:iCs/>
          <w:sz w:val="20"/>
          <w:szCs w:val="20"/>
          <w:u w:val="single"/>
          <w:lang w:val="en-US" w:eastAsia="zh-CN"/>
        </w:rPr>
        <w:t>Issue 2-1-4-2: General test scope</w:t>
      </w:r>
    </w:p>
    <w:p w14:paraId="69BFDCAE">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Since new requirements have been defined for RedCap UE in NTN network, the corresponding test cases shall also be involved. Based on current progress of the core requirement, we identified that at least following test cases shall be defined for RedCap UE over NTN.</w:t>
      </w:r>
    </w:p>
    <w:p w14:paraId="7088C445">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w:t>
      </w:r>
      <w:r>
        <w:rPr>
          <w:sz w:val="20"/>
          <w:szCs w:val="20"/>
          <w:lang w:eastAsia="zh-CN"/>
        </w:rPr>
        <w:t>ntra-frequency</w:t>
      </w:r>
      <w:r>
        <w:rPr>
          <w:rFonts w:hint="eastAsia"/>
          <w:sz w:val="20"/>
          <w:szCs w:val="20"/>
          <w:lang w:val="en-US" w:eastAsia="zh-CN"/>
        </w:rPr>
        <w:t xml:space="preserve"> </w:t>
      </w:r>
      <w:r>
        <w:rPr>
          <w:sz w:val="20"/>
          <w:szCs w:val="20"/>
          <w:lang w:eastAsia="zh-CN"/>
        </w:rPr>
        <w:t xml:space="preserve">Cell </w:t>
      </w:r>
      <w:r>
        <w:rPr>
          <w:rFonts w:hint="eastAsia"/>
          <w:sz w:val="20"/>
          <w:szCs w:val="20"/>
          <w:lang w:val="en-US" w:eastAsia="zh-CN"/>
        </w:rPr>
        <w:t>R</w:t>
      </w:r>
      <w:r>
        <w:rPr>
          <w:sz w:val="20"/>
          <w:szCs w:val="20"/>
          <w:lang w:eastAsia="zh-CN"/>
        </w:rPr>
        <w:t>e</w:t>
      </w:r>
      <w:r>
        <w:rPr>
          <w:rFonts w:hint="eastAsia"/>
          <w:sz w:val="20"/>
          <w:szCs w:val="20"/>
          <w:lang w:val="en-US" w:eastAsia="zh-CN"/>
        </w:rPr>
        <w:t>-</w:t>
      </w:r>
      <w:r>
        <w:rPr>
          <w:sz w:val="20"/>
          <w:szCs w:val="20"/>
          <w:lang w:eastAsia="zh-CN"/>
        </w:rPr>
        <w:t xml:space="preserve">selection </w:t>
      </w:r>
      <w:r>
        <w:rPr>
          <w:rFonts w:hint="eastAsia"/>
          <w:sz w:val="20"/>
          <w:szCs w:val="20"/>
          <w:lang w:val="en-US" w:eastAsia="zh-CN"/>
        </w:rPr>
        <w:t>for both 1Rx and 2Rx RedCap UE</w:t>
      </w:r>
    </w:p>
    <w:p w14:paraId="5EC95B02">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w:t>
      </w:r>
    </w:p>
    <w:p w14:paraId="7EF0B02D">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 with enhanced measurement</w:t>
      </w:r>
    </w:p>
    <w:p w14:paraId="38E232A1">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cell re-selection</w:t>
      </w:r>
    </w:p>
    <w:p w14:paraId="484F6A74">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cell re-selection</w:t>
      </w:r>
    </w:p>
    <w:p w14:paraId="0EF11CF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 with UE fulfilling relax measurement criteria</w:t>
      </w:r>
    </w:p>
    <w:p w14:paraId="48A0A617">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w:t>
      </w:r>
      <w:r>
        <w:rPr>
          <w:sz w:val="20"/>
          <w:szCs w:val="20"/>
          <w:lang w:eastAsia="zh-CN"/>
        </w:rPr>
        <w:t>nt</w:t>
      </w:r>
      <w:r>
        <w:rPr>
          <w:rFonts w:hint="eastAsia"/>
          <w:sz w:val="20"/>
          <w:szCs w:val="20"/>
          <w:lang w:val="en-US" w:eastAsia="zh-CN"/>
        </w:rPr>
        <w:t>er</w:t>
      </w:r>
      <w:r>
        <w:rPr>
          <w:sz w:val="20"/>
          <w:szCs w:val="20"/>
          <w:lang w:eastAsia="zh-CN"/>
        </w:rPr>
        <w:t>-frequency</w:t>
      </w:r>
      <w:r>
        <w:rPr>
          <w:rFonts w:hint="eastAsia"/>
          <w:sz w:val="20"/>
          <w:szCs w:val="20"/>
          <w:lang w:val="en-US" w:eastAsia="zh-CN"/>
        </w:rPr>
        <w:t xml:space="preserve"> </w:t>
      </w:r>
      <w:r>
        <w:rPr>
          <w:sz w:val="20"/>
          <w:szCs w:val="20"/>
          <w:lang w:eastAsia="zh-CN"/>
        </w:rPr>
        <w:t xml:space="preserve">Cell </w:t>
      </w:r>
      <w:r>
        <w:rPr>
          <w:rFonts w:hint="eastAsia"/>
          <w:sz w:val="20"/>
          <w:szCs w:val="20"/>
          <w:lang w:val="en-US" w:eastAsia="zh-CN"/>
        </w:rPr>
        <w:t>R</w:t>
      </w:r>
      <w:r>
        <w:rPr>
          <w:sz w:val="20"/>
          <w:szCs w:val="20"/>
          <w:lang w:eastAsia="zh-CN"/>
        </w:rPr>
        <w:t>e</w:t>
      </w:r>
      <w:r>
        <w:rPr>
          <w:rFonts w:hint="eastAsia"/>
          <w:sz w:val="20"/>
          <w:szCs w:val="20"/>
          <w:lang w:val="en-US" w:eastAsia="zh-CN"/>
        </w:rPr>
        <w:t>-</w:t>
      </w:r>
      <w:r>
        <w:rPr>
          <w:sz w:val="20"/>
          <w:szCs w:val="20"/>
          <w:lang w:eastAsia="zh-CN"/>
        </w:rPr>
        <w:t xml:space="preserve">selection </w:t>
      </w:r>
      <w:r>
        <w:rPr>
          <w:rFonts w:hint="eastAsia"/>
          <w:sz w:val="20"/>
          <w:szCs w:val="20"/>
          <w:lang w:val="en-US" w:eastAsia="zh-CN"/>
        </w:rPr>
        <w:t>for both 1Rx and 2Rx RedCap UE</w:t>
      </w:r>
    </w:p>
    <w:p w14:paraId="0532016B">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w:t>
      </w:r>
    </w:p>
    <w:p w14:paraId="316A623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with enhanced measurement</w:t>
      </w:r>
    </w:p>
    <w:p w14:paraId="48F510DB">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cell re-selection</w:t>
      </w:r>
    </w:p>
    <w:p w14:paraId="6C9B9C39">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cell re-selection</w:t>
      </w:r>
    </w:p>
    <w:p w14:paraId="113BD09D">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with UE fulfilling relax measurement criteria</w:t>
      </w:r>
    </w:p>
    <w:p w14:paraId="36B6FD17">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from NR NTN to NR TN</w:t>
      </w:r>
    </w:p>
    <w:p w14:paraId="40700CE4">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Inter-RAT cell re-selection from NR NTN to E-UTRAN TN both 1Rx and 2Rx RedCap UE</w:t>
      </w:r>
    </w:p>
    <w:p w14:paraId="4460B22F">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Intra-frequency Handover for both 1Rx and 2Rx RedCap UE</w:t>
      </w:r>
    </w:p>
    <w:p w14:paraId="5AA70E39">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Handover to known target cell</w:t>
      </w:r>
    </w:p>
    <w:p w14:paraId="2AF3800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Handover to unknown target cell</w:t>
      </w:r>
    </w:p>
    <w:p w14:paraId="5A5BE15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Conditional Handover</w:t>
      </w:r>
    </w:p>
    <w:p w14:paraId="6A2EBD01">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Conditional Handover</w:t>
      </w:r>
    </w:p>
    <w:p w14:paraId="1273DD4F">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conditional Handover without L3 measurement criteria</w:t>
      </w:r>
    </w:p>
    <w:p w14:paraId="40388AAA">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conditional Handover without L3 measurement criteria</w:t>
      </w:r>
    </w:p>
    <w:p w14:paraId="407A24E3">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Inter-frequency Handover for both 1Rx and 2Rx RedCap UE</w:t>
      </w:r>
    </w:p>
    <w:p w14:paraId="7CEF4033">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Handover to known target cell</w:t>
      </w:r>
    </w:p>
    <w:p w14:paraId="7D887D87">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Handover to unknown target cell</w:t>
      </w:r>
    </w:p>
    <w:p w14:paraId="058F3A3B">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Conditional Handover</w:t>
      </w:r>
    </w:p>
    <w:p w14:paraId="0F24035F">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Conditional Handover</w:t>
      </w:r>
    </w:p>
    <w:p w14:paraId="6C18E26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conditional Handover without L3 measurement criteria</w:t>
      </w:r>
    </w:p>
    <w:p w14:paraId="502481E5">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conditional Handover without L3 measurement criteria</w:t>
      </w:r>
    </w:p>
    <w:p w14:paraId="16C1FAA9">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Satellite switching with re-synchronization</w:t>
      </w:r>
      <w:r>
        <w:rPr>
          <w:rFonts w:hint="eastAsia"/>
          <w:sz w:val="20"/>
          <w:szCs w:val="20"/>
          <w:lang w:val="en-US" w:eastAsia="zh-CN"/>
        </w:rPr>
        <w:t xml:space="preserve"> for both 1Rx and 2Rx RedCap UE</w:t>
      </w:r>
    </w:p>
    <w:p w14:paraId="1EE6488A">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RACH-based Hard </w:t>
      </w:r>
      <w:r>
        <w:rPr>
          <w:rFonts w:hint="eastAsia"/>
          <w:sz w:val="20"/>
          <w:szCs w:val="20"/>
          <w:lang w:val="en-US" w:eastAsia="ko-KR"/>
        </w:rPr>
        <w:t>Satellite switchin</w:t>
      </w:r>
      <w:r>
        <w:rPr>
          <w:rFonts w:hint="eastAsia"/>
          <w:sz w:val="20"/>
          <w:szCs w:val="20"/>
          <w:lang w:val="en-US" w:eastAsia="zh-CN"/>
        </w:rPr>
        <w:t>g</w:t>
      </w:r>
    </w:p>
    <w:p w14:paraId="15A46E4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RACH-less based Hard </w:t>
      </w:r>
      <w:r>
        <w:rPr>
          <w:rFonts w:hint="eastAsia"/>
          <w:sz w:val="20"/>
          <w:szCs w:val="20"/>
          <w:lang w:val="en-US" w:eastAsia="ko-KR"/>
        </w:rPr>
        <w:t>Satellite switchin</w:t>
      </w:r>
      <w:r>
        <w:rPr>
          <w:rFonts w:hint="eastAsia"/>
          <w:sz w:val="20"/>
          <w:szCs w:val="20"/>
          <w:lang w:val="en-US" w:eastAsia="zh-CN"/>
        </w:rPr>
        <w:t>g</w:t>
      </w:r>
    </w:p>
    <w:p w14:paraId="02167D14">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RACH-based Soft </w:t>
      </w:r>
      <w:r>
        <w:rPr>
          <w:rFonts w:hint="eastAsia"/>
          <w:sz w:val="20"/>
          <w:szCs w:val="20"/>
          <w:lang w:val="en-US" w:eastAsia="ko-KR"/>
        </w:rPr>
        <w:t>Satellite switchin</w:t>
      </w:r>
      <w:r>
        <w:rPr>
          <w:rFonts w:hint="eastAsia"/>
          <w:sz w:val="20"/>
          <w:szCs w:val="20"/>
          <w:lang w:val="en-US" w:eastAsia="zh-CN"/>
        </w:rPr>
        <w:t>g</w:t>
      </w:r>
    </w:p>
    <w:p w14:paraId="27FFEB71">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RACH-less based Soft </w:t>
      </w:r>
      <w:r>
        <w:rPr>
          <w:rFonts w:hint="eastAsia"/>
          <w:sz w:val="20"/>
          <w:szCs w:val="20"/>
          <w:lang w:val="en-US" w:eastAsia="ko-KR"/>
        </w:rPr>
        <w:t>Satellite switchin</w:t>
      </w:r>
      <w:r>
        <w:rPr>
          <w:rFonts w:hint="eastAsia"/>
          <w:sz w:val="20"/>
          <w:szCs w:val="20"/>
          <w:lang w:val="en-US" w:eastAsia="zh-CN"/>
        </w:rPr>
        <w:t>g</w:t>
      </w:r>
    </w:p>
    <w:p w14:paraId="3031AA92">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Intra-frequency RRC Re-establishment</w:t>
      </w:r>
      <w:r>
        <w:rPr>
          <w:rFonts w:hint="eastAsia"/>
          <w:sz w:val="20"/>
          <w:szCs w:val="20"/>
          <w:lang w:val="en-US" w:eastAsia="zh-CN"/>
        </w:rPr>
        <w:t xml:space="preserve"> for both 1Rx and 2Rx RedCap UE</w:t>
      </w:r>
    </w:p>
    <w:p w14:paraId="2734135B">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Int</w:t>
      </w:r>
      <w:r>
        <w:rPr>
          <w:rFonts w:hint="eastAsia"/>
          <w:sz w:val="20"/>
          <w:szCs w:val="20"/>
          <w:lang w:val="en-US" w:eastAsia="zh-CN"/>
        </w:rPr>
        <w:t>er</w:t>
      </w:r>
      <w:r>
        <w:rPr>
          <w:rFonts w:hint="eastAsia"/>
          <w:sz w:val="20"/>
          <w:szCs w:val="20"/>
          <w:lang w:val="en-US" w:eastAsia="ko-KR"/>
        </w:rPr>
        <w:t>-frequency RRC Re-establishment</w:t>
      </w:r>
      <w:r>
        <w:rPr>
          <w:rFonts w:hint="eastAsia"/>
          <w:sz w:val="20"/>
          <w:szCs w:val="20"/>
          <w:lang w:val="en-US" w:eastAsia="zh-CN"/>
        </w:rPr>
        <w:t xml:space="preserve"> for both 1Rx and 2Rx RedCap UE</w:t>
      </w:r>
    </w:p>
    <w:p w14:paraId="3E3D540D">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4-step RA type contention based random access test</w:t>
      </w:r>
      <w:r>
        <w:rPr>
          <w:rFonts w:hint="eastAsia"/>
          <w:sz w:val="20"/>
          <w:szCs w:val="20"/>
          <w:lang w:val="en-US" w:eastAsia="zh-CN"/>
        </w:rPr>
        <w:t xml:space="preserve"> for both 1Rx and 2Rx RedCap UE</w:t>
      </w:r>
    </w:p>
    <w:p w14:paraId="722F1158">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4-step RA type n</w:t>
      </w:r>
      <w:r>
        <w:rPr>
          <w:rFonts w:hint="eastAsia"/>
          <w:sz w:val="20"/>
          <w:szCs w:val="20"/>
          <w:lang w:val="en-US" w:eastAsia="zh-CN"/>
        </w:rPr>
        <w:t>on-c</w:t>
      </w:r>
      <w:r>
        <w:rPr>
          <w:rFonts w:hint="eastAsia"/>
          <w:sz w:val="20"/>
          <w:szCs w:val="20"/>
          <w:lang w:val="en-US" w:eastAsia="ko-KR"/>
        </w:rPr>
        <w:t>ontention based random access test</w:t>
      </w:r>
      <w:r>
        <w:rPr>
          <w:rFonts w:hint="eastAsia"/>
          <w:sz w:val="20"/>
          <w:szCs w:val="20"/>
          <w:lang w:val="en-US" w:eastAsia="zh-CN"/>
        </w:rPr>
        <w:t xml:space="preserve"> for both 1Rx and 2Rx RedCap UE</w:t>
      </w:r>
    </w:p>
    <w:p w14:paraId="5DDBA06E">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Redirection from NR in FR1 to NR in FR1</w:t>
      </w:r>
      <w:r>
        <w:rPr>
          <w:rFonts w:hint="eastAsia"/>
          <w:sz w:val="20"/>
          <w:szCs w:val="20"/>
          <w:lang w:val="en-US" w:eastAsia="zh-CN"/>
        </w:rPr>
        <w:t xml:space="preserve"> for both 1Rx and 2Rx RedCap UE</w:t>
      </w:r>
    </w:p>
    <w:p w14:paraId="45844AB8">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UE transmit timing</w:t>
      </w:r>
      <w:r>
        <w:rPr>
          <w:rFonts w:hint="eastAsia"/>
          <w:sz w:val="20"/>
          <w:szCs w:val="20"/>
          <w:lang w:val="en-US" w:eastAsia="zh-CN"/>
        </w:rPr>
        <w:t xml:space="preserve"> for both 1Rx and 2Rx RedCap UE</w:t>
      </w:r>
    </w:p>
    <w:p w14:paraId="64403025">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ko-KR"/>
        </w:rPr>
      </w:pPr>
      <w:r>
        <w:rPr>
          <w:rFonts w:hint="eastAsia"/>
          <w:sz w:val="20"/>
          <w:szCs w:val="20"/>
          <w:lang w:val="en-US" w:eastAsia="ko-KR"/>
        </w:rPr>
        <w:t>FR1 timing advance adjustment accuracy</w:t>
      </w:r>
      <w:r>
        <w:rPr>
          <w:rFonts w:hint="eastAsia"/>
          <w:sz w:val="20"/>
          <w:szCs w:val="20"/>
          <w:lang w:val="en-US" w:eastAsia="zh-CN"/>
        </w:rPr>
        <w:t xml:space="preserve"> for both 1Rx and 2Rx RedCap UE</w:t>
      </w:r>
    </w:p>
    <w:p w14:paraId="01857BDD">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Radio Link Monitoring Out-of-sync Test</w:t>
      </w:r>
      <w:r>
        <w:rPr>
          <w:rFonts w:hint="eastAsia"/>
          <w:sz w:val="20"/>
          <w:szCs w:val="20"/>
          <w:lang w:val="en-US" w:eastAsia="zh-CN"/>
        </w:rPr>
        <w:t xml:space="preserve"> for both 1Rx and 2Rx RedCap UE</w:t>
      </w:r>
    </w:p>
    <w:p w14:paraId="6B7C31B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non-DRX mode</w:t>
      </w:r>
    </w:p>
    <w:p w14:paraId="3F76719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DRX mode</w:t>
      </w:r>
    </w:p>
    <w:p w14:paraId="2F653795">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non-DRX mode</w:t>
      </w:r>
    </w:p>
    <w:p w14:paraId="6FC4143F">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DRX mode</w:t>
      </w:r>
    </w:p>
    <w:p w14:paraId="3282B94F">
      <w:pPr>
        <w:pStyle w:val="14"/>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 xml:space="preserve">Radio Link Monitoring </w:t>
      </w:r>
      <w:r>
        <w:rPr>
          <w:rFonts w:hint="eastAsia" w:eastAsia="宋体"/>
          <w:sz w:val="20"/>
          <w:szCs w:val="20"/>
          <w:lang w:val="en-US" w:eastAsia="zh-CN"/>
        </w:rPr>
        <w:t>In</w:t>
      </w:r>
      <w:r>
        <w:rPr>
          <w:rFonts w:hint="eastAsia"/>
          <w:sz w:val="20"/>
          <w:szCs w:val="20"/>
          <w:lang w:val="en-US" w:eastAsia="ko-KR"/>
        </w:rPr>
        <w:t>-sync Test</w:t>
      </w:r>
      <w:r>
        <w:rPr>
          <w:rFonts w:hint="eastAsia"/>
          <w:sz w:val="20"/>
          <w:szCs w:val="20"/>
          <w:lang w:val="en-US" w:eastAsia="zh-CN"/>
        </w:rPr>
        <w:t xml:space="preserve"> for both 1Rx and 2Rx RedCap UE</w:t>
      </w:r>
    </w:p>
    <w:p w14:paraId="593F56F6">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non-DRX mode</w:t>
      </w:r>
    </w:p>
    <w:p w14:paraId="755D6793">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DRX mode</w:t>
      </w:r>
    </w:p>
    <w:p w14:paraId="2A77A8B6">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non-DRX mode</w:t>
      </w:r>
    </w:p>
    <w:p w14:paraId="1D5D4509">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DRX mode</w:t>
      </w:r>
    </w:p>
    <w:p w14:paraId="38413C48">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ko-KR"/>
        </w:rPr>
        <w:t>Beam Failure Detection and Link Recovery Test</w:t>
      </w:r>
      <w:r>
        <w:rPr>
          <w:rFonts w:hint="eastAsia"/>
          <w:sz w:val="20"/>
          <w:szCs w:val="20"/>
          <w:lang w:val="en-US" w:eastAsia="zh-CN"/>
        </w:rPr>
        <w:t xml:space="preserve"> for both 1Rx and 2Rx RedCap UE</w:t>
      </w:r>
    </w:p>
    <w:p w14:paraId="56B109E5">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BFD and LR in non-DRX mode</w:t>
      </w:r>
    </w:p>
    <w:p w14:paraId="0104982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BFD and LR in DRX mode</w:t>
      </w:r>
    </w:p>
    <w:p w14:paraId="3D7E3C12">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BFD and LR in non-DRX mode</w:t>
      </w:r>
    </w:p>
    <w:p w14:paraId="374E1DE7">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BFD and LR in DRX mode</w:t>
      </w:r>
    </w:p>
    <w:p w14:paraId="36A2E887">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ko-KR"/>
        </w:rPr>
        <w:t>Active BWP switch</w:t>
      </w:r>
      <w:r>
        <w:rPr>
          <w:rFonts w:hint="eastAsia"/>
          <w:sz w:val="20"/>
          <w:szCs w:val="20"/>
          <w:lang w:val="en-US" w:eastAsia="zh-CN"/>
        </w:rPr>
        <w:t xml:space="preserve"> for both 1Rx and 2Rx RedCap UE</w:t>
      </w:r>
    </w:p>
    <w:p w14:paraId="77E91F12">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ko-KR"/>
        </w:rPr>
        <w:t>DCI-based and Timer-based Active BWP Switch</w:t>
      </w:r>
    </w:p>
    <w:p w14:paraId="300E380D">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RRC-based Active BWP Switch</w:t>
      </w:r>
    </w:p>
    <w:p w14:paraId="2694D208">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bookmarkStart w:id="10" w:name="_Hlk54090261"/>
      <w:r>
        <w:rPr>
          <w:rFonts w:hint="eastAsia"/>
          <w:sz w:val="20"/>
          <w:szCs w:val="20"/>
          <w:lang w:val="en-US" w:eastAsia="ko-KR"/>
        </w:rPr>
        <w:t xml:space="preserve">UE specific CBW change </w:t>
      </w:r>
      <w:bookmarkEnd w:id="10"/>
      <w:r>
        <w:rPr>
          <w:rFonts w:hint="eastAsia"/>
          <w:sz w:val="20"/>
          <w:szCs w:val="20"/>
          <w:lang w:val="en-US" w:eastAsia="ko-KR"/>
        </w:rPr>
        <w:t>on PCell in FR1 in non-DRX</w:t>
      </w:r>
      <w:r>
        <w:rPr>
          <w:rFonts w:hint="eastAsia"/>
          <w:sz w:val="20"/>
          <w:szCs w:val="20"/>
          <w:lang w:val="en-US" w:eastAsia="zh-CN"/>
        </w:rPr>
        <w:t xml:space="preserve"> for both 1Rx and 2Rx RedCap UE</w:t>
      </w:r>
    </w:p>
    <w:p w14:paraId="04884E54">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Intra-frequency measurement for both 1Rx and 2Rx RedCap UE</w:t>
      </w:r>
    </w:p>
    <w:p w14:paraId="0507E967">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ko-KR"/>
        </w:rPr>
        <w:t>event triggered reporting tests without gap under non-DRX</w:t>
      </w:r>
    </w:p>
    <w:p w14:paraId="769C042B">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default"/>
          <w:sz w:val="20"/>
          <w:szCs w:val="20"/>
          <w:lang w:val="en-US" w:eastAsia="zh-CN"/>
        </w:rPr>
        <w:t>event triggered reporting tests without gap under DRX</w:t>
      </w:r>
    </w:p>
    <w:p w14:paraId="1BC10C40">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without gap under non-DRX with SSB index reading</w:t>
      </w:r>
    </w:p>
    <w:p w14:paraId="285CECDE">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with single measurement gap under non-DRX</w:t>
      </w:r>
    </w:p>
    <w:p w14:paraId="6E4B61F9">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event triggered reporting tests with FNO concurrent gaps under DRX for satellite access</w:t>
      </w:r>
    </w:p>
    <w:p w14:paraId="7F35732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event triggered reporting tests with PPO concurrent gaps under non-DRX with SSB index reading for satellite access</w:t>
      </w:r>
    </w:p>
    <w:p w14:paraId="70BFBB26">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Inter-frequency measurement for both 1Rx and 2Rx RedCap UE</w:t>
      </w:r>
    </w:p>
    <w:p w14:paraId="0872518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with single gap</w:t>
      </w:r>
      <w:r>
        <w:rPr>
          <w:rFonts w:hint="eastAsia"/>
          <w:sz w:val="20"/>
          <w:szCs w:val="20"/>
          <w:lang w:val="en-US" w:eastAsia="zh-CN"/>
        </w:rPr>
        <w:t xml:space="preserve"> under non-</w:t>
      </w:r>
      <w:r>
        <w:rPr>
          <w:rFonts w:hint="eastAsia"/>
          <w:sz w:val="20"/>
          <w:szCs w:val="20"/>
          <w:lang w:val="en-US" w:eastAsia="ko-KR"/>
        </w:rPr>
        <w:t xml:space="preserve">DRX </w:t>
      </w:r>
    </w:p>
    <w:p w14:paraId="2ECEEF28">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with single gap</w:t>
      </w:r>
      <w:r>
        <w:rPr>
          <w:rFonts w:hint="eastAsia"/>
          <w:sz w:val="20"/>
          <w:szCs w:val="20"/>
          <w:lang w:val="en-US" w:eastAsia="zh-CN"/>
        </w:rPr>
        <w:t xml:space="preserve"> under </w:t>
      </w:r>
      <w:r>
        <w:rPr>
          <w:rFonts w:hint="eastAsia"/>
          <w:sz w:val="20"/>
          <w:szCs w:val="20"/>
          <w:lang w:val="en-US" w:eastAsia="ko-KR"/>
        </w:rPr>
        <w:t xml:space="preserve">DRX </w:t>
      </w:r>
    </w:p>
    <w:p w14:paraId="03E7A78A">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 SSB time index detection </w:t>
      </w:r>
      <w:r>
        <w:rPr>
          <w:rFonts w:hint="eastAsia"/>
          <w:sz w:val="20"/>
          <w:szCs w:val="20"/>
          <w:lang w:val="en-US" w:eastAsia="zh-TW"/>
        </w:rPr>
        <w:t>with single gap</w:t>
      </w:r>
      <w:r>
        <w:rPr>
          <w:rFonts w:hint="eastAsia"/>
          <w:sz w:val="20"/>
          <w:szCs w:val="20"/>
          <w:lang w:val="en-US" w:eastAsia="zh-CN"/>
        </w:rPr>
        <w:t xml:space="preserve"> under non-</w:t>
      </w:r>
      <w:r>
        <w:rPr>
          <w:rFonts w:hint="eastAsia"/>
          <w:sz w:val="20"/>
          <w:szCs w:val="20"/>
          <w:lang w:val="en-US" w:eastAsia="ko-KR"/>
        </w:rPr>
        <w:t xml:space="preserve">DRX </w:t>
      </w:r>
    </w:p>
    <w:p w14:paraId="786082E0">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 xml:space="preserve">with </w:t>
      </w:r>
      <w:r>
        <w:rPr>
          <w:rFonts w:hint="eastAsia"/>
          <w:sz w:val="20"/>
          <w:szCs w:val="20"/>
          <w:lang w:val="en-US" w:eastAsia="ko-KR"/>
        </w:rPr>
        <w:t>FNO concurrent gaps</w:t>
      </w:r>
      <w:r>
        <w:rPr>
          <w:rFonts w:hint="eastAsia"/>
          <w:sz w:val="20"/>
          <w:szCs w:val="20"/>
          <w:lang w:val="en-US" w:eastAsia="zh-TW"/>
        </w:rPr>
        <w:t xml:space="preserve"> </w:t>
      </w:r>
      <w:r>
        <w:rPr>
          <w:rFonts w:hint="eastAsia"/>
          <w:sz w:val="20"/>
          <w:szCs w:val="20"/>
          <w:lang w:val="en-US" w:eastAsia="ko-KR"/>
        </w:rPr>
        <w:t>under non-DRX</w:t>
      </w:r>
    </w:p>
    <w:p w14:paraId="3C2D12E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for FR1 without SSB time index detection with PPO concurrent gaps under non-DRX</w:t>
      </w:r>
    </w:p>
    <w:p w14:paraId="5CDAC5FF">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 without gap under non-DRX</w:t>
      </w:r>
    </w:p>
    <w:p w14:paraId="53688DD5">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 without gap under DRX</w:t>
      </w:r>
    </w:p>
    <w:p w14:paraId="74DBAAD1">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L1-RSRP measurement for beam reporting for both 1Rx and 2Rx RedCap UE</w:t>
      </w:r>
    </w:p>
    <w:p w14:paraId="7431160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SSB based L1-RSRP measurement for satellite access </w:t>
      </w:r>
      <w:r>
        <w:rPr>
          <w:rFonts w:hint="eastAsia"/>
          <w:sz w:val="20"/>
          <w:szCs w:val="20"/>
          <w:lang w:val="en-US" w:eastAsia="zh-CN"/>
        </w:rPr>
        <w:t>under non-</w:t>
      </w:r>
      <w:r>
        <w:rPr>
          <w:rFonts w:hint="eastAsia"/>
          <w:sz w:val="20"/>
          <w:szCs w:val="20"/>
          <w:lang w:val="en-US" w:eastAsia="ko-KR"/>
        </w:rPr>
        <w:t>DRX</w:t>
      </w:r>
    </w:p>
    <w:p w14:paraId="06D8DE31">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 xml:space="preserve">SSB based L1-RSRP measurement for satellite access </w:t>
      </w:r>
      <w:r>
        <w:rPr>
          <w:rFonts w:hint="eastAsia"/>
          <w:sz w:val="20"/>
          <w:szCs w:val="20"/>
          <w:lang w:val="en-US" w:eastAsia="zh-CN"/>
        </w:rPr>
        <w:t xml:space="preserve">under </w:t>
      </w:r>
      <w:r>
        <w:rPr>
          <w:rFonts w:hint="eastAsia"/>
          <w:sz w:val="20"/>
          <w:szCs w:val="20"/>
          <w:lang w:val="en-US" w:eastAsia="ko-KR"/>
        </w:rPr>
        <w:t>DRX</w:t>
      </w:r>
    </w:p>
    <w:p w14:paraId="082C1241">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CSI-RS based L1-RSRP measurement for satellite access </w:t>
      </w:r>
      <w:r>
        <w:rPr>
          <w:rFonts w:hint="eastAsia"/>
          <w:sz w:val="20"/>
          <w:szCs w:val="20"/>
          <w:lang w:val="en-US" w:eastAsia="zh-CN"/>
        </w:rPr>
        <w:t>under non-</w:t>
      </w:r>
      <w:r>
        <w:rPr>
          <w:rFonts w:hint="eastAsia"/>
          <w:sz w:val="20"/>
          <w:szCs w:val="20"/>
          <w:lang w:val="en-US" w:eastAsia="ko-KR"/>
        </w:rPr>
        <w:t>DRX</w:t>
      </w:r>
    </w:p>
    <w:p w14:paraId="151C3E3C">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CSI-RS based L1-RSRP measurement for satellite access </w:t>
      </w:r>
      <w:r>
        <w:rPr>
          <w:rFonts w:hint="eastAsia"/>
          <w:sz w:val="20"/>
          <w:szCs w:val="20"/>
          <w:lang w:val="en-US" w:eastAsia="zh-CN"/>
        </w:rPr>
        <w:t xml:space="preserve">under </w:t>
      </w:r>
      <w:r>
        <w:rPr>
          <w:rFonts w:hint="eastAsia"/>
          <w:sz w:val="20"/>
          <w:szCs w:val="20"/>
          <w:lang w:val="en-US" w:eastAsia="ko-KR"/>
        </w:rPr>
        <w:t>DRX</w:t>
      </w:r>
    </w:p>
    <w:p w14:paraId="67207E50">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SS-RSRP/SS-RSRQ/SS-SINR Measurement Performance for both 1Rx and 2Rx RedCap UE</w:t>
      </w:r>
    </w:p>
    <w:p w14:paraId="3899DD5B">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case measurement accuracy with FR1 serving cell and FR1 target cell</w:t>
      </w:r>
    </w:p>
    <w:p w14:paraId="20F29CDD">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zh-CN"/>
        </w:rPr>
        <w:t>inter-frequency case measurement accuracy with FR1 serving cell and FR1 target cell</w:t>
      </w:r>
    </w:p>
    <w:p w14:paraId="56D3A8BE">
      <w:pPr>
        <w:pStyle w:val="14"/>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sz w:val="20"/>
          <w:szCs w:val="20"/>
          <w:lang w:val="en-US" w:eastAsia="zh-CN"/>
        </w:rPr>
      </w:pPr>
      <w:r>
        <w:rPr>
          <w:rFonts w:hint="eastAsia"/>
          <w:sz w:val="20"/>
          <w:szCs w:val="20"/>
          <w:lang w:val="en-US" w:eastAsia="zh-CN"/>
        </w:rPr>
        <w:t>L1-RSRP measurement Performance for beam reporting for both 1Rx and 2Rx RedCap UE</w:t>
      </w:r>
    </w:p>
    <w:p w14:paraId="47777D9D">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zh-CN"/>
        </w:rPr>
        <w:t>SSB based L1-RSRP measurement</w:t>
      </w:r>
    </w:p>
    <w:p w14:paraId="441BB782">
      <w:pPr>
        <w:pStyle w:val="14"/>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 based L1-RSRP measurement on resource set with repetition off</w:t>
      </w:r>
    </w:p>
    <w:p w14:paraId="7250078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4: Define the test cases for RedCap UE over NTN as listed above.</w:t>
      </w:r>
    </w:p>
    <w:p w14:paraId="70406C48">
      <w:pPr>
        <w:spacing w:before="60"/>
        <w:jc w:val="both"/>
        <w:rPr>
          <w:rFonts w:hint="default" w:eastAsia="宋体"/>
          <w:sz w:val="20"/>
          <w:szCs w:val="20"/>
          <w:lang w:val="en-US" w:eastAsia="zh-CN"/>
        </w:rPr>
      </w:pPr>
    </w:p>
    <w:p w14:paraId="79AA5AA3">
      <w:pPr>
        <w:pStyle w:val="5"/>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bCs/>
          <w:i/>
          <w:iCs/>
          <w:sz w:val="20"/>
          <w:szCs w:val="20"/>
          <w:u w:val="single"/>
          <w:lang w:val="en-GB"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2-1</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T</w:t>
      </w:r>
      <w:r>
        <w:rPr>
          <w:rFonts w:hint="default" w:ascii="Times New Roman" w:hAnsi="Times New Roman" w:cs="Times New Roman"/>
          <w:b/>
          <w:bCs/>
          <w:i/>
          <w:iCs/>
          <w:sz w:val="20"/>
          <w:szCs w:val="20"/>
          <w:u w:val="single"/>
          <w:lang w:eastAsia="ko-KR"/>
        </w:rPr>
        <w:t xml:space="preserve">est </w:t>
      </w:r>
      <w:r>
        <w:rPr>
          <w:rFonts w:hint="eastAsia" w:ascii="Times New Roman" w:hAnsi="Times New Roman" w:cs="Times New Roman"/>
          <w:b/>
          <w:bCs/>
          <w:i/>
          <w:iCs/>
          <w:sz w:val="20"/>
          <w:szCs w:val="20"/>
          <w:u w:val="single"/>
          <w:lang w:eastAsia="ko-KR"/>
        </w:rPr>
        <w:t>scope</w:t>
      </w:r>
      <w:bookmarkStart w:id="11" w:name="OLE_LINK25"/>
      <w:bookmarkStart w:id="12" w:name="OLE_LINK24"/>
      <w:r>
        <w:rPr>
          <w:rFonts w:hint="eastAsia" w:ascii="Times New Roman" w:hAnsi="Times New Roman" w:cs="Times New Roman"/>
          <w:b/>
          <w:bCs/>
          <w:i/>
          <w:iCs/>
          <w:sz w:val="20"/>
          <w:szCs w:val="20"/>
          <w:u w:val="single"/>
          <w:lang w:eastAsia="ko-KR"/>
        </w:rPr>
        <w:t xml:space="preserve"> for </w:t>
      </w:r>
      <w:r>
        <w:rPr>
          <w:rFonts w:hint="default" w:ascii="Times New Roman" w:hAnsi="Times New Roman" w:cs="Times New Roman"/>
          <w:b/>
          <w:bCs/>
          <w:i/>
          <w:iCs/>
          <w:sz w:val="20"/>
          <w:szCs w:val="20"/>
          <w:u w:val="single"/>
          <w:lang w:eastAsia="ko-KR"/>
        </w:rPr>
        <w:t>downlink coverage enhancement</w:t>
      </w:r>
    </w:p>
    <w:bookmarkEnd w:id="11"/>
    <w:bookmarkEnd w:id="12"/>
    <w:p w14:paraId="0198DD19">
      <w:pPr>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i/>
          <w:iCs/>
          <w:sz w:val="20"/>
          <w:szCs w:val="20"/>
        </w:rPr>
      </w:pPr>
      <w:r>
        <w:rPr>
          <w:rFonts w:hint="default" w:ascii="Times New Roman" w:hAnsi="Times New Roman" w:cs="Times New Roman"/>
          <w:b/>
          <w:i/>
          <w:iCs/>
          <w:sz w:val="20"/>
          <w:szCs w:val="20"/>
        </w:rPr>
        <w:t>&lt;Way Forward&gt;</w:t>
      </w:r>
      <w:r>
        <w:rPr>
          <w:rFonts w:hint="eastAsia" w:ascii="Times New Roman" w:hAnsi="Times New Roman" w:cs="Times New Roman"/>
          <w:b/>
          <w:i/>
          <w:iCs/>
          <w:sz w:val="20"/>
          <w:szCs w:val="20"/>
        </w:rPr>
        <w:t>:</w:t>
      </w:r>
    </w:p>
    <w:p w14:paraId="04AEACF8">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Proposal 1 (ZTE): For downlink coverage enhancement, some new test cases will be added in the existing NTN test cases, which will also be defined in Clause A.14.</w:t>
      </w:r>
    </w:p>
    <w:p w14:paraId="381F7A21">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Proposal 2 (Ericsson, CATT, HW, ZTE)</w:t>
      </w:r>
      <w:r>
        <w:rPr>
          <w:rFonts w:hint="default" w:ascii="Times New Roman" w:hAnsi="Times New Roman" w:cs="Times New Roman" w:eastAsiaTheme="minorEastAsia"/>
          <w:i/>
          <w:iCs/>
          <w:sz w:val="20"/>
          <w:szCs w:val="20"/>
        </w:rPr>
        <w:t>:</w:t>
      </w:r>
      <w:r>
        <w:rPr>
          <w:rFonts w:hint="eastAsia" w:ascii="Times New Roman" w:hAnsi="Times New Roman" w:cs="Times New Roman" w:eastAsiaTheme="minorEastAsia"/>
          <w:i/>
          <w:iCs/>
          <w:sz w:val="20"/>
          <w:szCs w:val="20"/>
        </w:rPr>
        <w:t xml:space="preserve"> </w:t>
      </w:r>
      <w:r>
        <w:rPr>
          <w:rFonts w:hint="default" w:ascii="Times New Roman" w:hAnsi="Times New Roman" w:cs="Times New Roman" w:eastAsiaTheme="minorEastAsia"/>
          <w:i/>
          <w:iCs/>
          <w:sz w:val="20"/>
          <w:szCs w:val="20"/>
        </w:rPr>
        <w:t>RAN4 to consider adding a new test case for RRC Re-establishment</w:t>
      </w:r>
      <w:r>
        <w:rPr>
          <w:rFonts w:hint="eastAsia" w:ascii="Times New Roman" w:hAnsi="Times New Roman" w:cs="Times New Roman" w:eastAsiaTheme="minorEastAsia"/>
          <w:i/>
          <w:iCs/>
          <w:sz w:val="20"/>
          <w:szCs w:val="20"/>
        </w:rPr>
        <w:t xml:space="preserve"> </w:t>
      </w:r>
      <w:r>
        <w:rPr>
          <w:rFonts w:hint="default" w:ascii="Times New Roman" w:hAnsi="Times New Roman" w:cs="Times New Roman" w:eastAsiaTheme="minorEastAsia"/>
          <w:i/>
          <w:iCs/>
          <w:sz w:val="20"/>
          <w:szCs w:val="20"/>
        </w:rPr>
        <w:t>for the UE capable of coverage enhancement.</w:t>
      </w:r>
    </w:p>
    <w:p w14:paraId="5B4FBEF6">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Proposal </w:t>
      </w:r>
      <w:r>
        <w:rPr>
          <w:rFonts w:hint="eastAsia" w:ascii="Times New Roman" w:hAnsi="Times New Roman" w:cs="Times New Roman" w:eastAsiaTheme="minorEastAsia"/>
          <w:i/>
          <w:iCs/>
          <w:sz w:val="20"/>
          <w:szCs w:val="20"/>
        </w:rPr>
        <w:t>2a (HW)</w:t>
      </w:r>
      <w:r>
        <w:rPr>
          <w:rFonts w:hint="default" w:ascii="Times New Roman" w:hAnsi="Times New Roman" w:cs="Times New Roman" w:eastAsiaTheme="minorEastAsia"/>
          <w:i/>
          <w:iCs/>
          <w:sz w:val="20"/>
          <w:szCs w:val="20"/>
        </w:rPr>
        <w:t>: Define test case for RRC Re-establishment with 160ms SSB periodicity and without serving cell based on existing test case in A.6.3.2.1.3.</w:t>
      </w:r>
    </w:p>
    <w:p w14:paraId="41D8A8F0">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Proposal </w:t>
      </w:r>
      <w:r>
        <w:rPr>
          <w:rFonts w:hint="eastAsia" w:ascii="Times New Roman" w:hAnsi="Times New Roman" w:cs="Times New Roman" w:eastAsiaTheme="minorEastAsia"/>
          <w:i/>
          <w:iCs/>
          <w:sz w:val="20"/>
          <w:szCs w:val="20"/>
        </w:rPr>
        <w:t>3 (CATT, HW)</w:t>
      </w:r>
      <w:r>
        <w:rPr>
          <w:rFonts w:hint="default" w:ascii="Times New Roman" w:hAnsi="Times New Roman" w:cs="Times New Roman" w:eastAsiaTheme="minorEastAsia"/>
          <w:i/>
          <w:iCs/>
          <w:sz w:val="20"/>
          <w:szCs w:val="20"/>
        </w:rPr>
        <w:t>:</w:t>
      </w:r>
      <w:r>
        <w:rPr>
          <w:rFonts w:hint="eastAsia" w:ascii="Times New Roman" w:hAnsi="Times New Roman" w:cs="Times New Roman" w:eastAsiaTheme="minorEastAsia"/>
          <w:i/>
          <w:iCs/>
          <w:sz w:val="20"/>
          <w:szCs w:val="20"/>
        </w:rPr>
        <w:t xml:space="preserve"> O</w:t>
      </w:r>
      <w:r>
        <w:rPr>
          <w:rFonts w:hint="default" w:ascii="Times New Roman" w:hAnsi="Times New Roman" w:cs="Times New Roman" w:eastAsiaTheme="minorEastAsia"/>
          <w:i/>
          <w:iCs/>
          <w:sz w:val="20"/>
          <w:szCs w:val="20"/>
        </w:rPr>
        <w:t>ther test cases need to wait for the progress in core part.</w:t>
      </w:r>
    </w:p>
    <w:p w14:paraId="3D3E72B5">
      <w:pPr>
        <w:pStyle w:val="14"/>
        <w:keepNext w:val="0"/>
        <w:keepLines w:val="0"/>
        <w:pageBreakBefore w:val="0"/>
        <w:widowControl/>
        <w:numPr>
          <w:ilvl w:val="1"/>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default" w:ascii="Times New Roman" w:hAnsi="Times New Roman" w:cs="Times New Roman" w:eastAsiaTheme="minorEastAsia"/>
          <w:i/>
          <w:iCs/>
          <w:sz w:val="20"/>
          <w:szCs w:val="20"/>
        </w:rPr>
        <w:t xml:space="preserve">Proposal </w:t>
      </w:r>
      <w:r>
        <w:rPr>
          <w:rFonts w:hint="eastAsia" w:ascii="Times New Roman" w:hAnsi="Times New Roman" w:cs="Times New Roman" w:eastAsiaTheme="minorEastAsia"/>
          <w:i/>
          <w:iCs/>
          <w:sz w:val="20"/>
          <w:szCs w:val="20"/>
        </w:rPr>
        <w:t>3a (HW)</w:t>
      </w:r>
      <w:r>
        <w:rPr>
          <w:rFonts w:hint="default" w:ascii="Times New Roman" w:hAnsi="Times New Roman" w:cs="Times New Roman" w:eastAsiaTheme="minorEastAsia"/>
          <w:i/>
          <w:iCs/>
          <w:sz w:val="20"/>
          <w:szCs w:val="20"/>
        </w:rPr>
        <w:t>: Wait for conclusion on potential SMTC enhancement before discussing whether to define new test cases for cell reselection and L3 measurement.</w:t>
      </w:r>
    </w:p>
    <w:p w14:paraId="5212C7F6">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default"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Proposal 4 (ZTE): For RRC connection release with redirection to NR, handover, satellite switch with re-sync and cell re-selection, no new test cases shall be defined.</w:t>
      </w:r>
    </w:p>
    <w:p w14:paraId="47643ACC">
      <w:pPr>
        <w:spacing w:before="60"/>
        <w:jc w:val="both"/>
        <w:rPr>
          <w:rFonts w:hint="eastAsia" w:eastAsia="宋体"/>
          <w:sz w:val="20"/>
          <w:szCs w:val="20"/>
          <w:lang w:val="en-US" w:eastAsia="zh-CN"/>
        </w:rPr>
      </w:pPr>
      <w:r>
        <w:rPr>
          <w:rFonts w:hint="eastAsia" w:eastAsia="宋体"/>
          <w:sz w:val="20"/>
          <w:szCs w:val="20"/>
          <w:lang w:val="en-US" w:eastAsia="zh-CN"/>
        </w:rPr>
        <w:t>Based on the progress of the core part so far, RAN4 define new RRC Re-establishment core requirements for Serving cell SSB Ês/Iot (dB)&lt;-8 case, this shall be tested by adding one new test case. Due to this new requirement is for DL-CE purpose, the SSB periodicity shall be set as 160ms.</w:t>
      </w:r>
    </w:p>
    <w:p w14:paraId="69762D9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sz w:val="20"/>
          <w:szCs w:val="20"/>
          <w:lang w:val="en-US" w:eastAsia="zh-CN"/>
        </w:rPr>
      </w:pPr>
      <w:r>
        <w:rPr>
          <w:rFonts w:hint="eastAsia"/>
          <w:b/>
          <w:i/>
          <w:iCs/>
          <w:sz w:val="20"/>
          <w:szCs w:val="20"/>
          <w:lang w:val="en-US" w:eastAsia="zh-CN"/>
        </w:rPr>
        <w:t>Proposal 5: Define RRC Re-establish</w:t>
      </w:r>
      <w:r>
        <w:rPr>
          <w:rFonts w:hint="eastAsia"/>
          <w:b/>
          <w:bCs w:val="0"/>
          <w:i/>
          <w:iCs/>
          <w:sz w:val="20"/>
          <w:szCs w:val="20"/>
          <w:lang w:val="en-US" w:eastAsia="zh-CN"/>
        </w:rPr>
        <w:t xml:space="preserve">ment test case for </w:t>
      </w:r>
      <w:r>
        <w:rPr>
          <w:rFonts w:hint="eastAsia" w:eastAsia="宋体"/>
          <w:b/>
          <w:bCs w:val="0"/>
          <w:i/>
          <w:iCs/>
          <w:sz w:val="20"/>
          <w:szCs w:val="20"/>
          <w:lang w:val="en-US" w:eastAsia="zh-CN"/>
        </w:rPr>
        <w:t>Serving cell SSB Ês/Iot (dB)&lt;-8 and SSB periodicity 160ms case</w:t>
      </w:r>
      <w:r>
        <w:rPr>
          <w:rFonts w:hint="eastAsia"/>
          <w:b/>
          <w:bCs w:val="0"/>
          <w:i/>
          <w:iCs/>
          <w:sz w:val="20"/>
          <w:szCs w:val="20"/>
          <w:lang w:val="en-US" w:eastAsia="zh-CN"/>
        </w:rPr>
        <w:t>.</w:t>
      </w:r>
    </w:p>
    <w:p w14:paraId="57E083B3">
      <w:pPr>
        <w:spacing w:before="60"/>
        <w:jc w:val="both"/>
        <w:rPr>
          <w:rFonts w:hint="eastAsia" w:eastAsia="宋体"/>
          <w:sz w:val="20"/>
          <w:szCs w:val="20"/>
          <w:lang w:val="en-US" w:eastAsia="zh-CN"/>
        </w:rPr>
      </w:pPr>
      <w:r>
        <w:rPr>
          <w:rFonts w:hint="eastAsia" w:eastAsia="宋体"/>
          <w:sz w:val="20"/>
          <w:szCs w:val="20"/>
          <w:lang w:val="en-US" w:eastAsia="zh-CN"/>
        </w:rPr>
        <w:t>For SMTC enhancement related, we should first wait the core requirements.</w:t>
      </w:r>
    </w:p>
    <w:p w14:paraId="5A21843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6: For SMTC enhancement related test cases, wait the core requirement progress first.</w:t>
      </w:r>
    </w:p>
    <w:p w14:paraId="4495DBEF">
      <w:pPr>
        <w:spacing w:before="60"/>
        <w:jc w:val="both"/>
        <w:rPr>
          <w:rFonts w:hint="default" w:eastAsia="宋体"/>
          <w:sz w:val="20"/>
          <w:szCs w:val="20"/>
          <w:lang w:val="en-US" w:eastAsia="zh-CN"/>
        </w:rPr>
      </w:pPr>
    </w:p>
    <w:p w14:paraId="37E74258">
      <w:pPr>
        <w:pStyle w:val="5"/>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bCs/>
          <w:i/>
          <w:iCs/>
          <w:sz w:val="20"/>
          <w:szCs w:val="20"/>
          <w:u w:val="single"/>
          <w:lang w:val="en-GB" w:eastAsia="ko-KR"/>
        </w:rPr>
      </w:pPr>
      <w:r>
        <w:rPr>
          <w:rFonts w:hint="default" w:ascii="Times New Roman" w:hAnsi="Times New Roman" w:cs="Times New Roman"/>
          <w:b/>
          <w:bCs/>
          <w:i/>
          <w:iCs/>
          <w:sz w:val="20"/>
          <w:szCs w:val="20"/>
          <w:u w:val="single"/>
          <w:lang w:eastAsia="ko-KR"/>
        </w:rPr>
        <w:t xml:space="preserve">Issue </w:t>
      </w:r>
      <w:r>
        <w:rPr>
          <w:rFonts w:hint="eastAsia" w:ascii="Times New Roman" w:hAnsi="Times New Roman" w:cs="Times New Roman"/>
          <w:b/>
          <w:bCs/>
          <w:i/>
          <w:iCs/>
          <w:sz w:val="20"/>
          <w:szCs w:val="20"/>
          <w:u w:val="single"/>
          <w:lang w:eastAsia="ko-KR"/>
        </w:rPr>
        <w:t>2</w:t>
      </w:r>
      <w:r>
        <w:rPr>
          <w:rFonts w:hint="default" w:ascii="Times New Roman" w:hAnsi="Times New Roman" w:cs="Times New Roman"/>
          <w:b/>
          <w:bCs/>
          <w:i/>
          <w:iCs/>
          <w:sz w:val="20"/>
          <w:szCs w:val="20"/>
          <w:u w:val="single"/>
          <w:lang w:eastAsia="ko-KR"/>
        </w:rPr>
        <w:t>-</w:t>
      </w:r>
      <w:r>
        <w:rPr>
          <w:rFonts w:hint="eastAsia" w:ascii="Times New Roman" w:hAnsi="Times New Roman" w:cs="Times New Roman"/>
          <w:b/>
          <w:bCs/>
          <w:i/>
          <w:iCs/>
          <w:sz w:val="20"/>
          <w:szCs w:val="20"/>
          <w:u w:val="single"/>
          <w:lang w:eastAsia="ko-KR"/>
        </w:rPr>
        <w:t>2-2</w:t>
      </w:r>
      <w:r>
        <w:rPr>
          <w:rFonts w:hint="default" w:ascii="Times New Roman" w:hAnsi="Times New Roman" w:cs="Times New Roman"/>
          <w:b/>
          <w:bCs/>
          <w:i/>
          <w:iCs/>
          <w:sz w:val="20"/>
          <w:szCs w:val="20"/>
          <w:u w:val="single"/>
          <w:lang w:eastAsia="ko-KR"/>
        </w:rPr>
        <w:t xml:space="preserve">: </w:t>
      </w:r>
      <w:r>
        <w:rPr>
          <w:rFonts w:hint="eastAsia" w:ascii="Times New Roman" w:hAnsi="Times New Roman" w:cs="Times New Roman"/>
          <w:b/>
          <w:bCs/>
          <w:i/>
          <w:iCs/>
          <w:sz w:val="20"/>
          <w:szCs w:val="20"/>
          <w:u w:val="single"/>
          <w:lang w:eastAsia="ko-KR"/>
        </w:rPr>
        <w:t xml:space="preserve">Test configuration for </w:t>
      </w:r>
      <w:r>
        <w:rPr>
          <w:rFonts w:hint="default" w:ascii="Times New Roman" w:hAnsi="Times New Roman" w:cs="Times New Roman"/>
          <w:b/>
          <w:bCs/>
          <w:i/>
          <w:iCs/>
          <w:sz w:val="20"/>
          <w:szCs w:val="20"/>
          <w:u w:val="single"/>
          <w:lang w:eastAsia="ko-KR"/>
        </w:rPr>
        <w:t>downlink coverage enhancement</w:t>
      </w:r>
    </w:p>
    <w:p w14:paraId="165D5BF6">
      <w:pPr>
        <w:keepLines w:val="0"/>
        <w:pageBreakBefore w:val="0"/>
        <w:widowControl/>
        <w:kinsoku/>
        <w:wordWrap/>
        <w:topLinePunct w:val="0"/>
        <w:bidi w:val="0"/>
        <w:snapToGrid/>
        <w:spacing w:before="60" w:after="60" w:line="240" w:lineRule="auto"/>
        <w:textAlignment w:val="auto"/>
        <w:rPr>
          <w:rFonts w:hint="default" w:ascii="Times New Roman" w:hAnsi="Times New Roman" w:cs="Times New Roman"/>
          <w:b/>
          <w:i/>
          <w:iCs/>
          <w:sz w:val="20"/>
          <w:szCs w:val="20"/>
        </w:rPr>
      </w:pPr>
      <w:r>
        <w:rPr>
          <w:rFonts w:hint="default" w:ascii="Times New Roman" w:hAnsi="Times New Roman" w:cs="Times New Roman"/>
          <w:b/>
          <w:i/>
          <w:iCs/>
          <w:sz w:val="20"/>
          <w:szCs w:val="20"/>
        </w:rPr>
        <w:t>&lt;Way Forward&gt;</w:t>
      </w:r>
      <w:r>
        <w:rPr>
          <w:rFonts w:hint="eastAsia" w:ascii="Times New Roman" w:hAnsi="Times New Roman" w:cs="Times New Roman"/>
          <w:b/>
          <w:i/>
          <w:iCs/>
          <w:sz w:val="20"/>
          <w:szCs w:val="20"/>
        </w:rPr>
        <w:t>:</w:t>
      </w:r>
    </w:p>
    <w:p w14:paraId="46901368">
      <w:pPr>
        <w:pStyle w:val="14"/>
        <w:keepNext w:val="0"/>
        <w:keepLines w:val="0"/>
        <w:pageBreakBefore w:val="0"/>
        <w:widowControl/>
        <w:numPr>
          <w:ilvl w:val="0"/>
          <w:numId w:val="3"/>
        </w:numPr>
        <w:kinsoku/>
        <w:wordWrap/>
        <w:overflowPunct/>
        <w:topLinePunct w:val="0"/>
        <w:autoSpaceDE/>
        <w:autoSpaceDN/>
        <w:bidi w:val="0"/>
        <w:adjustRightInd/>
        <w:snapToGrid/>
        <w:spacing w:before="60" w:after="60"/>
        <w:ind w:firstLineChars="0"/>
        <w:textAlignment w:val="auto"/>
        <w:rPr>
          <w:rFonts w:hint="eastAsia" w:ascii="Times New Roman" w:hAnsi="Times New Roman" w:cs="Times New Roman" w:eastAsiaTheme="minorEastAsia"/>
          <w:i/>
          <w:iCs/>
          <w:sz w:val="20"/>
          <w:szCs w:val="20"/>
        </w:rPr>
      </w:pPr>
      <w:r>
        <w:rPr>
          <w:rFonts w:hint="eastAsia" w:ascii="Times New Roman" w:hAnsi="Times New Roman" w:cs="Times New Roman" w:eastAsiaTheme="minorEastAsia"/>
          <w:i/>
          <w:iCs/>
          <w:sz w:val="20"/>
          <w:szCs w:val="20"/>
        </w:rPr>
        <w:t>Proposal 1: RAN4 need to discuss whether to introduced new SSB patterns for DL enhancement NTN UE.</w:t>
      </w:r>
    </w:p>
    <w:p w14:paraId="7DC90277">
      <w:pPr>
        <w:spacing w:before="60"/>
        <w:jc w:val="both"/>
        <w:rPr>
          <w:rFonts w:hint="eastAsia" w:eastAsia="宋体"/>
          <w:sz w:val="20"/>
          <w:szCs w:val="20"/>
          <w:lang w:val="en-US" w:eastAsia="zh-CN"/>
        </w:rPr>
      </w:pPr>
      <w:r>
        <w:rPr>
          <w:rFonts w:hint="eastAsia" w:eastAsia="宋体"/>
          <w:sz w:val="20"/>
          <w:szCs w:val="20"/>
          <w:lang w:val="en-US" w:eastAsia="zh-CN"/>
        </w:rPr>
        <w:t>So far, there is no 160ms periodicity SSB pattern defined in spec, which should be introduced at least for new RRC Re-establishment test case.</w:t>
      </w:r>
    </w:p>
    <w:p w14:paraId="210F1AB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7: Introduce new 160ms periodicity SSB pattern for DL CE.</w:t>
      </w:r>
    </w:p>
    <w:p w14:paraId="52BB7B7A">
      <w:pPr>
        <w:spacing w:before="60"/>
        <w:jc w:val="both"/>
        <w:rPr>
          <w:rFonts w:hint="default" w:eastAsia="宋体"/>
          <w:sz w:val="20"/>
          <w:szCs w:val="20"/>
          <w:lang w:val="en-US" w:eastAsia="zh-CN"/>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01C1967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1: Take the NTN test setups as the reference, except both FDD and HD-FDD shall be involved in test configuration.</w:t>
      </w:r>
    </w:p>
    <w:p w14:paraId="6FF1632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 xml:space="preserve">Proposal 2: Prefer to set a new Clause for perf requirement, and use the </w:t>
      </w:r>
      <w:r>
        <w:rPr>
          <w:rFonts w:hint="default"/>
          <w:b/>
          <w:i/>
          <w:iCs/>
          <w:sz w:val="20"/>
          <w:szCs w:val="20"/>
          <w:lang w:val="en-US" w:eastAsia="zh-CN"/>
        </w:rPr>
        <w:t>‘</w:t>
      </w:r>
      <w:r>
        <w:rPr>
          <w:rFonts w:hint="eastAsia"/>
          <w:b/>
          <w:i/>
          <w:iCs/>
          <w:sz w:val="20"/>
          <w:szCs w:val="20"/>
          <w:lang w:val="en-US" w:eastAsia="zh-CN"/>
        </w:rPr>
        <w:t>refer to</w:t>
      </w:r>
      <w:r>
        <w:rPr>
          <w:rFonts w:hint="default"/>
          <w:b/>
          <w:i/>
          <w:iCs/>
          <w:sz w:val="20"/>
          <w:szCs w:val="20"/>
          <w:lang w:val="en-US" w:eastAsia="zh-CN"/>
        </w:rPr>
        <w:t>’</w:t>
      </w:r>
      <w:r>
        <w:rPr>
          <w:rFonts w:hint="eastAsia"/>
          <w:b/>
          <w:i/>
          <w:iCs/>
          <w:sz w:val="20"/>
          <w:szCs w:val="20"/>
          <w:lang w:val="en-US" w:eastAsia="zh-CN"/>
        </w:rPr>
        <w:t xml:space="preserve"> method when drafting the spec to avoid duplicated contents.</w:t>
      </w:r>
    </w:p>
    <w:p w14:paraId="072F1BE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Proposal 3: Define the separate test cases for 1Rx and 2Rx (e)RedCap UE with NTN.</w:t>
      </w:r>
    </w:p>
    <w:p w14:paraId="3BF18BD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4: Define the test cases for RedCap UE over NTN as listed above.</w:t>
      </w:r>
    </w:p>
    <w:p w14:paraId="35D6674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sz w:val="20"/>
          <w:szCs w:val="20"/>
          <w:lang w:val="en-US" w:eastAsia="zh-CN"/>
        </w:rPr>
      </w:pPr>
      <w:r>
        <w:rPr>
          <w:rFonts w:hint="eastAsia"/>
          <w:b/>
          <w:i/>
          <w:iCs/>
          <w:sz w:val="20"/>
          <w:szCs w:val="20"/>
          <w:lang w:val="en-US" w:eastAsia="zh-CN"/>
        </w:rPr>
        <w:t>Proposal 5: Define RRC Re-establish</w:t>
      </w:r>
      <w:r>
        <w:rPr>
          <w:rFonts w:hint="eastAsia"/>
          <w:b/>
          <w:bCs w:val="0"/>
          <w:i/>
          <w:iCs/>
          <w:sz w:val="20"/>
          <w:szCs w:val="20"/>
          <w:lang w:val="en-US" w:eastAsia="zh-CN"/>
        </w:rPr>
        <w:t xml:space="preserve">ment test case for </w:t>
      </w:r>
      <w:r>
        <w:rPr>
          <w:rFonts w:hint="eastAsia" w:eastAsia="宋体"/>
          <w:b/>
          <w:bCs w:val="0"/>
          <w:i/>
          <w:iCs/>
          <w:sz w:val="20"/>
          <w:szCs w:val="20"/>
          <w:lang w:val="en-US" w:eastAsia="zh-CN"/>
        </w:rPr>
        <w:t>Serving cell SSB Ês/Iot (dB)&lt;-8 and SSB periodicity 160ms case</w:t>
      </w:r>
      <w:r>
        <w:rPr>
          <w:rFonts w:hint="eastAsia"/>
          <w:b/>
          <w:bCs w:val="0"/>
          <w:i/>
          <w:iCs/>
          <w:sz w:val="20"/>
          <w:szCs w:val="20"/>
          <w:lang w:val="en-US" w:eastAsia="zh-CN"/>
        </w:rPr>
        <w:t>.</w:t>
      </w:r>
    </w:p>
    <w:p w14:paraId="5B1209E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6: For SMTC enhancement related test cases, wait the core requirement progress first.</w:t>
      </w:r>
    </w:p>
    <w:p w14:paraId="38D3360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7: Introduce new 160ms periodicity SSB pattern for DL CE.</w:t>
      </w:r>
    </w:p>
    <w:p w14:paraId="5A1C8317">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Reference</w:t>
      </w:r>
    </w:p>
    <w:p w14:paraId="51B4AD75">
      <w:pPr>
        <w:numPr>
          <w:ilvl w:val="0"/>
          <w:numId w:val="5"/>
        </w:numPr>
        <w:rPr>
          <w:rFonts w:hint="default" w:eastAsiaTheme="minorEastAsia"/>
          <w:sz w:val="20"/>
          <w:szCs w:val="20"/>
          <w:lang w:val="en-US" w:eastAsia="zh-CN"/>
        </w:rPr>
      </w:pPr>
      <w:r>
        <w:rPr>
          <w:rFonts w:hint="eastAsia"/>
          <w:sz w:val="20"/>
          <w:szCs w:val="20"/>
          <w:lang w:val="en-US" w:eastAsia="zh-CN"/>
        </w:rPr>
        <w:t>R4-2508287, WF on RRM requirements for NR_NTN_Ph3_Part1, Moderator (CATT)</w:t>
      </w:r>
    </w:p>
    <w:p w14:paraId="5DAF006B"/>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DF045"/>
    <w:multiLevelType w:val="singleLevel"/>
    <w:tmpl w:val="BAADF045"/>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9EE624D"/>
    <w:multiLevelType w:val="singleLevel"/>
    <w:tmpl w:val="79EE624D"/>
    <w:lvl w:ilvl="0" w:tentative="0">
      <w:start w:val="1"/>
      <w:numFmt w:val="decimal"/>
      <w:suff w:val="space"/>
      <w:lvlText w:val="[%1]"/>
      <w:lvlJc w:val="left"/>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9D4A76"/>
    <w:rsid w:val="00D11DCE"/>
    <w:rsid w:val="00E56A55"/>
    <w:rsid w:val="016A5795"/>
    <w:rsid w:val="01D64E9E"/>
    <w:rsid w:val="028D5262"/>
    <w:rsid w:val="03D86526"/>
    <w:rsid w:val="044E482E"/>
    <w:rsid w:val="05524AD2"/>
    <w:rsid w:val="06F75AD2"/>
    <w:rsid w:val="076F3AC2"/>
    <w:rsid w:val="07AC566B"/>
    <w:rsid w:val="07DD0BC7"/>
    <w:rsid w:val="09517472"/>
    <w:rsid w:val="0953638B"/>
    <w:rsid w:val="09FB09F5"/>
    <w:rsid w:val="0D8612F4"/>
    <w:rsid w:val="0F7A5B7B"/>
    <w:rsid w:val="0FDD3944"/>
    <w:rsid w:val="10464BC0"/>
    <w:rsid w:val="10575AEE"/>
    <w:rsid w:val="1173721C"/>
    <w:rsid w:val="12046C67"/>
    <w:rsid w:val="126A33AE"/>
    <w:rsid w:val="17126F70"/>
    <w:rsid w:val="17747819"/>
    <w:rsid w:val="18BE4A43"/>
    <w:rsid w:val="18D9421B"/>
    <w:rsid w:val="19F05275"/>
    <w:rsid w:val="1A6E7580"/>
    <w:rsid w:val="1AAB5DAE"/>
    <w:rsid w:val="1B1501FB"/>
    <w:rsid w:val="1CE847F5"/>
    <w:rsid w:val="1D8706B3"/>
    <w:rsid w:val="1FC16A5B"/>
    <w:rsid w:val="1FCC1334"/>
    <w:rsid w:val="208F304C"/>
    <w:rsid w:val="218E2946"/>
    <w:rsid w:val="23226087"/>
    <w:rsid w:val="24452905"/>
    <w:rsid w:val="25466E4D"/>
    <w:rsid w:val="296A26AA"/>
    <w:rsid w:val="2A7F138A"/>
    <w:rsid w:val="2CE10DFC"/>
    <w:rsid w:val="2E18387E"/>
    <w:rsid w:val="30BB7818"/>
    <w:rsid w:val="335825D6"/>
    <w:rsid w:val="3874599A"/>
    <w:rsid w:val="3ACE28A7"/>
    <w:rsid w:val="3C986043"/>
    <w:rsid w:val="3C9E707E"/>
    <w:rsid w:val="3D9F061F"/>
    <w:rsid w:val="3E373ADA"/>
    <w:rsid w:val="3EBD45F1"/>
    <w:rsid w:val="42A52A53"/>
    <w:rsid w:val="44794C71"/>
    <w:rsid w:val="44CA1FE5"/>
    <w:rsid w:val="46066F60"/>
    <w:rsid w:val="46850C1B"/>
    <w:rsid w:val="46B10109"/>
    <w:rsid w:val="47506F6D"/>
    <w:rsid w:val="47B27DFC"/>
    <w:rsid w:val="47E53D33"/>
    <w:rsid w:val="4AFB201B"/>
    <w:rsid w:val="4C4B787D"/>
    <w:rsid w:val="4C616FDE"/>
    <w:rsid w:val="4DA32C0D"/>
    <w:rsid w:val="4EEC4C43"/>
    <w:rsid w:val="505C3AE8"/>
    <w:rsid w:val="505C7A00"/>
    <w:rsid w:val="51D83011"/>
    <w:rsid w:val="52A50065"/>
    <w:rsid w:val="54260228"/>
    <w:rsid w:val="55A8786E"/>
    <w:rsid w:val="57FB2B46"/>
    <w:rsid w:val="59EF76A3"/>
    <w:rsid w:val="5BCC3BCD"/>
    <w:rsid w:val="5BFF75C4"/>
    <w:rsid w:val="5C4E5845"/>
    <w:rsid w:val="5EDF6D5C"/>
    <w:rsid w:val="5FC561E5"/>
    <w:rsid w:val="615E697B"/>
    <w:rsid w:val="65A35FC4"/>
    <w:rsid w:val="65E41C8C"/>
    <w:rsid w:val="65FB1716"/>
    <w:rsid w:val="663A164A"/>
    <w:rsid w:val="67525987"/>
    <w:rsid w:val="6B934BAF"/>
    <w:rsid w:val="6D7F3116"/>
    <w:rsid w:val="6E5D037B"/>
    <w:rsid w:val="6F6A106F"/>
    <w:rsid w:val="6FC3127F"/>
    <w:rsid w:val="6FE52AD0"/>
    <w:rsid w:val="71B927E7"/>
    <w:rsid w:val="71EF4499"/>
    <w:rsid w:val="71F52B18"/>
    <w:rsid w:val="72BE025B"/>
    <w:rsid w:val="76A742C8"/>
    <w:rsid w:val="770D5AF8"/>
    <w:rsid w:val="778957B1"/>
    <w:rsid w:val="79CE24BD"/>
    <w:rsid w:val="7B1C10AB"/>
    <w:rsid w:val="7B9A2C9B"/>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tabs>
        <w:tab w:val="left" w:pos="432"/>
      </w:tabs>
      <w:ind w:left="1418" w:hanging="1418"/>
      <w:outlineLvl w:val="3"/>
    </w:pPr>
    <w:rPr>
      <w:sz w:val="24"/>
    </w:rPr>
  </w:style>
  <w:style w:type="paragraph" w:styleId="6">
    <w:name w:val="heading 5"/>
    <w:basedOn w:val="1"/>
    <w:next w:val="1"/>
    <w:unhideWhenUsed/>
    <w:qFormat/>
    <w:uiPriority w:val="9"/>
    <w:pPr>
      <w:keepNext/>
      <w:keepLines/>
      <w:spacing w:before="280" w:after="290" w:line="376" w:lineRule="auto"/>
      <w:outlineLvl w:val="4"/>
    </w:pPr>
    <w:rPr>
      <w:rFonts w:ascii="宋体" w:hAnsi="宋体" w:cs="宋体"/>
      <w:b/>
      <w:bCs/>
      <w:sz w:val="28"/>
      <w:szCs w:val="28"/>
      <w:lang w:eastAsia="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0"/>
    <w:qFormat/>
    <w:uiPriority w:val="0"/>
  </w:style>
  <w:style w:type="paragraph" w:styleId="8">
    <w:name w:val="List"/>
    <w:basedOn w:val="1"/>
    <w:semiHidden/>
    <w:unhideWhenUsed/>
    <w:qFormat/>
    <w:uiPriority w:val="99"/>
    <w:pPr>
      <w:ind w:left="200" w:hanging="200" w:hangingChars="200"/>
      <w:contextualSpacing/>
    </w:pPr>
  </w:style>
  <w:style w:type="paragraph" w:styleId="9">
    <w:name w:val="annotation subject"/>
    <w:basedOn w:val="7"/>
    <w:next w:val="7"/>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styleId="14">
    <w:name w:val="List Paragraph"/>
    <w:basedOn w:val="1"/>
    <w:qFormat/>
    <w:uiPriority w:val="34"/>
    <w:pPr>
      <w:ind w:firstLine="420" w:firstLineChars="200"/>
    </w:pPr>
    <w:rPr>
      <w:rFonts w:eastAsia="Times New Roman" w:cs="宋体"/>
    </w:rPr>
  </w:style>
  <w:style w:type="paragraph" w:customStyle="1" w:styleId="15">
    <w:name w:val="B1"/>
    <w:basedOn w:val="8"/>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pPr>
    <w:rPr>
      <w:rFonts w:ascii="Arial" w:hAnsi="Arial"/>
      <w:sz w:val="18"/>
    </w:rPr>
  </w:style>
  <w:style w:type="paragraph" w:customStyle="1" w:styleId="19">
    <w:name w:val="TAN"/>
    <w:basedOn w:val="18"/>
    <w:qFormat/>
    <w:uiPriority w:val="0"/>
    <w:pPr>
      <w:ind w:left="851" w:hanging="851"/>
    </w:pPr>
  </w:style>
  <w:style w:type="character" w:customStyle="1" w:styleId="20">
    <w:name w:val="批注文字 字符"/>
    <w:basedOn w:val="12"/>
    <w:link w:val="7"/>
    <w:qFormat/>
    <w:uiPriority w:val="0"/>
    <w:rPr>
      <w:rFonts w:ascii="Times New Roman" w:hAnsi="Times New Roman" w:cs="Times New Roman"/>
      <w:sz w:val="24"/>
      <w:szCs w:val="24"/>
    </w:rPr>
  </w:style>
  <w:style w:type="character" w:customStyle="1" w:styleId="21">
    <w:name w:val="批注主题 字符"/>
    <w:basedOn w:val="20"/>
    <w:link w:val="9"/>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1855</Words>
  <Characters>10574</Characters>
  <Lines>88</Lines>
  <Paragraphs>24</Paragraphs>
  <TotalTime>1</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2025-08-15T06:25:52Z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